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B6" w:rsidRDefault="003B44B6" w:rsidP="003B44B6">
      <w:pPr>
        <w:jc w:val="center"/>
        <w:rPr>
          <w:rFonts w:asciiTheme="majorHAnsi" w:hAnsiTheme="majorHAnsi"/>
          <w:sz w:val="28"/>
          <w:szCs w:val="28"/>
          <w:vertAlign w:val="subscript"/>
        </w:rPr>
      </w:pPr>
    </w:p>
    <w:p w:rsidR="003B44B6" w:rsidRDefault="003B44B6" w:rsidP="003B44B6">
      <w:pPr>
        <w:jc w:val="center"/>
        <w:rPr>
          <w:rFonts w:asciiTheme="majorHAnsi" w:hAnsiTheme="majorHAnsi"/>
          <w:sz w:val="28"/>
          <w:szCs w:val="28"/>
        </w:rPr>
      </w:pPr>
      <w:r>
        <w:rPr>
          <w:rFonts w:asciiTheme="majorHAnsi" w:hAnsiTheme="majorHAnsi"/>
          <w:sz w:val="28"/>
          <w:szCs w:val="28"/>
        </w:rPr>
        <w:t xml:space="preserve">Hathersage Parish Council </w:t>
      </w:r>
    </w:p>
    <w:p w:rsidR="003B44B6" w:rsidRDefault="003B44B6" w:rsidP="003B44B6">
      <w:pPr>
        <w:jc w:val="center"/>
        <w:rPr>
          <w:rFonts w:asciiTheme="majorHAnsi" w:hAnsiTheme="majorHAnsi"/>
          <w:b/>
          <w:sz w:val="24"/>
          <w:szCs w:val="24"/>
        </w:rPr>
      </w:pPr>
      <w:r>
        <w:rPr>
          <w:rFonts w:asciiTheme="majorHAnsi" w:hAnsiTheme="majorHAnsi"/>
          <w:b/>
          <w:sz w:val="24"/>
          <w:szCs w:val="24"/>
        </w:rPr>
        <w:t>Planning Committee</w:t>
      </w:r>
    </w:p>
    <w:p w:rsidR="003B44B6" w:rsidRDefault="003B44B6" w:rsidP="003B44B6">
      <w:pPr>
        <w:jc w:val="center"/>
        <w:rPr>
          <w:rFonts w:asciiTheme="majorHAnsi" w:hAnsiTheme="majorHAnsi"/>
          <w:sz w:val="22"/>
          <w:szCs w:val="22"/>
        </w:rPr>
      </w:pPr>
      <w:r>
        <w:rPr>
          <w:rFonts w:asciiTheme="majorHAnsi" w:hAnsiTheme="majorHAnsi"/>
          <w:sz w:val="22"/>
          <w:szCs w:val="22"/>
        </w:rPr>
        <w:t>Minutes of the Planning Committee Meeting held on 30th November 2015.</w:t>
      </w:r>
    </w:p>
    <w:p w:rsidR="003B44B6" w:rsidRDefault="003B44B6" w:rsidP="003B44B6">
      <w:pPr>
        <w:tabs>
          <w:tab w:val="left" w:pos="0"/>
          <w:tab w:val="left" w:pos="6804"/>
        </w:tabs>
        <w:jc w:val="center"/>
      </w:pPr>
    </w:p>
    <w:tbl>
      <w:tblPr>
        <w:tblW w:w="0" w:type="auto"/>
        <w:tblLook w:val="04A0"/>
      </w:tblPr>
      <w:tblGrid>
        <w:gridCol w:w="933"/>
        <w:gridCol w:w="440"/>
        <w:gridCol w:w="7869"/>
      </w:tblGrid>
      <w:tr w:rsidR="003B44B6" w:rsidTr="003B44B6">
        <w:trPr>
          <w:trHeight w:val="283"/>
        </w:trPr>
        <w:tc>
          <w:tcPr>
            <w:tcW w:w="10458" w:type="dxa"/>
            <w:gridSpan w:val="3"/>
            <w:hideMark/>
          </w:tcPr>
          <w:p w:rsidR="003B44B6" w:rsidRDefault="003B44B6">
            <w:pPr>
              <w:spacing w:line="276" w:lineRule="auto"/>
              <w:rPr>
                <w:rFonts w:ascii="Cambria" w:hAnsi="Cambria"/>
                <w:sz w:val="22"/>
                <w:szCs w:val="22"/>
              </w:rPr>
            </w:pPr>
            <w:r>
              <w:rPr>
                <w:rFonts w:ascii="Cambria" w:hAnsi="Cambria"/>
                <w:sz w:val="22"/>
                <w:szCs w:val="22"/>
              </w:rPr>
              <w:t>Present:              Cllrs B. Gordon; J Marsden; H Rodgers</w:t>
            </w:r>
          </w:p>
        </w:tc>
      </w:tr>
      <w:tr w:rsidR="003B44B6" w:rsidTr="003B44B6">
        <w:trPr>
          <w:trHeight w:val="283"/>
        </w:trPr>
        <w:tc>
          <w:tcPr>
            <w:tcW w:w="10458" w:type="dxa"/>
            <w:gridSpan w:val="3"/>
            <w:hideMark/>
          </w:tcPr>
          <w:p w:rsidR="003B44B6" w:rsidRDefault="003B44B6">
            <w:pPr>
              <w:spacing w:line="276" w:lineRule="auto"/>
              <w:rPr>
                <w:rFonts w:ascii="Cambria" w:hAnsi="Cambria"/>
                <w:sz w:val="22"/>
                <w:szCs w:val="22"/>
              </w:rPr>
            </w:pPr>
            <w:r>
              <w:rPr>
                <w:rFonts w:ascii="Cambria" w:hAnsi="Cambria"/>
                <w:sz w:val="22"/>
                <w:szCs w:val="22"/>
              </w:rPr>
              <w:t>In attendance:   C Wilkinson (Asst Clerk</w:t>
            </w:r>
          </w:p>
        </w:tc>
      </w:tr>
      <w:tr w:rsidR="003B44B6" w:rsidTr="003B44B6">
        <w:trPr>
          <w:trHeight w:val="283"/>
        </w:trPr>
        <w:tc>
          <w:tcPr>
            <w:tcW w:w="933" w:type="dxa"/>
            <w:hideMark/>
          </w:tcPr>
          <w:p w:rsidR="003B44B6" w:rsidRDefault="003B44B6">
            <w:pPr>
              <w:spacing w:line="276" w:lineRule="auto"/>
              <w:rPr>
                <w:rFonts w:ascii="Cambria" w:hAnsi="Cambria"/>
                <w:sz w:val="22"/>
                <w:szCs w:val="22"/>
              </w:rPr>
            </w:pPr>
            <w:r>
              <w:rPr>
                <w:rFonts w:ascii="Cambria" w:hAnsi="Cambria"/>
                <w:sz w:val="22"/>
                <w:szCs w:val="22"/>
              </w:rPr>
              <w:t>054/15</w:t>
            </w:r>
          </w:p>
        </w:tc>
        <w:tc>
          <w:tcPr>
            <w:tcW w:w="454" w:type="dxa"/>
          </w:tcPr>
          <w:p w:rsidR="003B44B6" w:rsidRDefault="003B44B6">
            <w:pPr>
              <w:spacing w:line="276" w:lineRule="auto"/>
              <w:rPr>
                <w:rFonts w:ascii="Cambria" w:hAnsi="Cambria"/>
                <w:sz w:val="22"/>
                <w:szCs w:val="22"/>
              </w:rPr>
            </w:pPr>
          </w:p>
        </w:tc>
        <w:tc>
          <w:tcPr>
            <w:tcW w:w="9071" w:type="dxa"/>
            <w:hideMark/>
          </w:tcPr>
          <w:p w:rsidR="003B44B6" w:rsidRDefault="003B44B6">
            <w:pPr>
              <w:spacing w:line="276" w:lineRule="auto"/>
              <w:rPr>
                <w:rFonts w:ascii="Cambria" w:hAnsi="Cambria"/>
                <w:sz w:val="22"/>
                <w:szCs w:val="22"/>
              </w:rPr>
            </w:pPr>
            <w:r>
              <w:rPr>
                <w:rFonts w:ascii="Cambria" w:hAnsi="Cambria"/>
                <w:sz w:val="22"/>
                <w:szCs w:val="22"/>
              </w:rPr>
              <w:t>No apologies received</w:t>
            </w:r>
          </w:p>
        </w:tc>
      </w:tr>
      <w:tr w:rsidR="003B44B6" w:rsidTr="003B44B6">
        <w:trPr>
          <w:trHeight w:val="283"/>
        </w:trPr>
        <w:tc>
          <w:tcPr>
            <w:tcW w:w="933" w:type="dxa"/>
            <w:hideMark/>
          </w:tcPr>
          <w:p w:rsidR="003B44B6" w:rsidRDefault="003B44B6">
            <w:pPr>
              <w:spacing w:line="276" w:lineRule="auto"/>
              <w:rPr>
                <w:rFonts w:ascii="Cambria" w:hAnsi="Cambria"/>
                <w:sz w:val="22"/>
                <w:szCs w:val="22"/>
              </w:rPr>
            </w:pPr>
            <w:r>
              <w:rPr>
                <w:rFonts w:ascii="Cambria" w:hAnsi="Cambria"/>
                <w:sz w:val="22"/>
                <w:szCs w:val="22"/>
              </w:rPr>
              <w:t>055/15</w:t>
            </w:r>
          </w:p>
        </w:tc>
        <w:tc>
          <w:tcPr>
            <w:tcW w:w="454" w:type="dxa"/>
          </w:tcPr>
          <w:p w:rsidR="003B44B6" w:rsidRDefault="003B44B6">
            <w:pPr>
              <w:spacing w:line="276" w:lineRule="auto"/>
              <w:rPr>
                <w:rFonts w:ascii="Cambria" w:hAnsi="Cambria"/>
                <w:sz w:val="22"/>
                <w:szCs w:val="22"/>
              </w:rPr>
            </w:pPr>
          </w:p>
        </w:tc>
        <w:tc>
          <w:tcPr>
            <w:tcW w:w="9071" w:type="dxa"/>
            <w:hideMark/>
          </w:tcPr>
          <w:p w:rsidR="003B44B6" w:rsidRDefault="003B44B6">
            <w:pPr>
              <w:spacing w:line="276" w:lineRule="auto"/>
              <w:rPr>
                <w:rFonts w:ascii="Cambria" w:hAnsi="Cambria"/>
                <w:sz w:val="22"/>
                <w:szCs w:val="22"/>
              </w:rPr>
            </w:pPr>
            <w:r>
              <w:rPr>
                <w:rFonts w:ascii="Cambria" w:hAnsi="Cambria"/>
                <w:sz w:val="22"/>
                <w:szCs w:val="22"/>
              </w:rPr>
              <w:t xml:space="preserve">There were no variations in the order of business. </w:t>
            </w:r>
          </w:p>
        </w:tc>
      </w:tr>
      <w:tr w:rsidR="003B44B6" w:rsidTr="003B44B6">
        <w:trPr>
          <w:trHeight w:val="283"/>
        </w:trPr>
        <w:tc>
          <w:tcPr>
            <w:tcW w:w="933" w:type="dxa"/>
            <w:hideMark/>
          </w:tcPr>
          <w:p w:rsidR="003B44B6" w:rsidRDefault="003B44B6">
            <w:pPr>
              <w:spacing w:line="276" w:lineRule="auto"/>
              <w:rPr>
                <w:rFonts w:ascii="Cambria" w:hAnsi="Cambria"/>
                <w:sz w:val="22"/>
                <w:szCs w:val="22"/>
              </w:rPr>
            </w:pPr>
            <w:r>
              <w:rPr>
                <w:rFonts w:ascii="Cambria" w:hAnsi="Cambria"/>
                <w:sz w:val="22"/>
                <w:szCs w:val="22"/>
              </w:rPr>
              <w:t>056/15</w:t>
            </w:r>
          </w:p>
        </w:tc>
        <w:tc>
          <w:tcPr>
            <w:tcW w:w="454" w:type="dxa"/>
          </w:tcPr>
          <w:p w:rsidR="003B44B6" w:rsidRDefault="003B44B6">
            <w:pPr>
              <w:spacing w:line="276" w:lineRule="auto"/>
              <w:rPr>
                <w:rFonts w:ascii="Cambria" w:hAnsi="Cambria"/>
                <w:sz w:val="22"/>
                <w:szCs w:val="22"/>
              </w:rPr>
            </w:pPr>
          </w:p>
        </w:tc>
        <w:tc>
          <w:tcPr>
            <w:tcW w:w="9071" w:type="dxa"/>
            <w:hideMark/>
          </w:tcPr>
          <w:p w:rsidR="003B44B6" w:rsidRDefault="003B44B6">
            <w:pPr>
              <w:spacing w:line="276" w:lineRule="auto"/>
              <w:rPr>
                <w:rFonts w:ascii="Cambria" w:hAnsi="Cambria"/>
                <w:sz w:val="22"/>
                <w:szCs w:val="22"/>
              </w:rPr>
            </w:pPr>
            <w:r>
              <w:rPr>
                <w:rFonts w:ascii="Cambria" w:hAnsi="Cambria"/>
                <w:sz w:val="22"/>
                <w:szCs w:val="22"/>
              </w:rPr>
              <w:t>Cllr Gordon declared an interest as an employee of PDNPA.</w:t>
            </w:r>
          </w:p>
        </w:tc>
      </w:tr>
      <w:tr w:rsidR="003B44B6" w:rsidTr="003B44B6">
        <w:trPr>
          <w:trHeight w:val="283"/>
        </w:trPr>
        <w:tc>
          <w:tcPr>
            <w:tcW w:w="933" w:type="dxa"/>
            <w:hideMark/>
          </w:tcPr>
          <w:p w:rsidR="003B44B6" w:rsidRDefault="003B44B6">
            <w:pPr>
              <w:spacing w:line="276" w:lineRule="auto"/>
              <w:rPr>
                <w:rFonts w:ascii="Cambria" w:hAnsi="Cambria"/>
                <w:sz w:val="22"/>
                <w:szCs w:val="22"/>
              </w:rPr>
            </w:pPr>
            <w:r>
              <w:rPr>
                <w:rFonts w:ascii="Cambria" w:hAnsi="Cambria"/>
                <w:sz w:val="22"/>
                <w:szCs w:val="22"/>
              </w:rPr>
              <w:t>057/15</w:t>
            </w:r>
          </w:p>
        </w:tc>
        <w:tc>
          <w:tcPr>
            <w:tcW w:w="454" w:type="dxa"/>
          </w:tcPr>
          <w:p w:rsidR="003B44B6" w:rsidRDefault="003B44B6">
            <w:pPr>
              <w:spacing w:line="276" w:lineRule="auto"/>
              <w:rPr>
                <w:rFonts w:ascii="Cambria" w:hAnsi="Cambria"/>
                <w:sz w:val="22"/>
                <w:szCs w:val="22"/>
              </w:rPr>
            </w:pPr>
          </w:p>
        </w:tc>
        <w:tc>
          <w:tcPr>
            <w:tcW w:w="9071" w:type="dxa"/>
            <w:hideMark/>
          </w:tcPr>
          <w:p w:rsidR="003B44B6" w:rsidRDefault="003B44B6">
            <w:pPr>
              <w:spacing w:line="276" w:lineRule="auto"/>
              <w:rPr>
                <w:rFonts w:ascii="Cambria" w:hAnsi="Cambria"/>
                <w:sz w:val="22"/>
                <w:szCs w:val="22"/>
              </w:rPr>
            </w:pPr>
            <w:r>
              <w:rPr>
                <w:rFonts w:ascii="Cambria" w:hAnsi="Cambria"/>
                <w:sz w:val="22"/>
                <w:szCs w:val="22"/>
              </w:rPr>
              <w:t>No Public Participation</w:t>
            </w:r>
          </w:p>
        </w:tc>
      </w:tr>
      <w:tr w:rsidR="003B44B6" w:rsidTr="003B44B6">
        <w:trPr>
          <w:trHeight w:val="283"/>
        </w:trPr>
        <w:tc>
          <w:tcPr>
            <w:tcW w:w="933" w:type="dxa"/>
            <w:hideMark/>
          </w:tcPr>
          <w:p w:rsidR="003B44B6" w:rsidRDefault="003B44B6">
            <w:pPr>
              <w:spacing w:line="276" w:lineRule="auto"/>
              <w:rPr>
                <w:rFonts w:ascii="Cambria" w:hAnsi="Cambria"/>
                <w:sz w:val="22"/>
                <w:szCs w:val="22"/>
              </w:rPr>
            </w:pPr>
            <w:r>
              <w:rPr>
                <w:rFonts w:ascii="Cambria" w:hAnsi="Cambria"/>
                <w:sz w:val="22"/>
                <w:szCs w:val="22"/>
              </w:rPr>
              <w:t>058/15</w:t>
            </w:r>
          </w:p>
        </w:tc>
        <w:tc>
          <w:tcPr>
            <w:tcW w:w="454" w:type="dxa"/>
          </w:tcPr>
          <w:p w:rsidR="003B44B6" w:rsidRDefault="003B44B6">
            <w:pPr>
              <w:spacing w:line="276" w:lineRule="auto"/>
              <w:rPr>
                <w:rFonts w:ascii="Cambria" w:hAnsi="Cambria"/>
                <w:sz w:val="22"/>
                <w:szCs w:val="22"/>
              </w:rPr>
            </w:pPr>
          </w:p>
        </w:tc>
        <w:tc>
          <w:tcPr>
            <w:tcW w:w="9071" w:type="dxa"/>
            <w:hideMark/>
          </w:tcPr>
          <w:p w:rsidR="003B44B6" w:rsidRPr="002A1DF3" w:rsidRDefault="003B44B6" w:rsidP="002A1DF3">
            <w:pPr>
              <w:pStyle w:val="NoSpacing"/>
              <w:rPr>
                <w:rFonts w:ascii="Cambria" w:hAnsi="Cambria"/>
                <w:sz w:val="22"/>
                <w:szCs w:val="22"/>
              </w:rPr>
            </w:pPr>
            <w:r w:rsidRPr="002A1DF3">
              <w:rPr>
                <w:rFonts w:ascii="Cambria" w:hAnsi="Cambria"/>
                <w:sz w:val="22"/>
                <w:szCs w:val="22"/>
              </w:rPr>
              <w:t xml:space="preserve">The  Minutes of 26th October 2015 had been circulated, and were approved and signed by the Chair. </w:t>
            </w:r>
          </w:p>
        </w:tc>
      </w:tr>
      <w:tr w:rsidR="003B44B6" w:rsidTr="003B44B6">
        <w:trPr>
          <w:trHeight w:val="283"/>
        </w:trPr>
        <w:tc>
          <w:tcPr>
            <w:tcW w:w="933" w:type="dxa"/>
            <w:hideMark/>
          </w:tcPr>
          <w:p w:rsidR="003B44B6" w:rsidRDefault="003B44B6">
            <w:pPr>
              <w:spacing w:line="276" w:lineRule="auto"/>
              <w:rPr>
                <w:rFonts w:ascii="Cambria" w:hAnsi="Cambria"/>
                <w:sz w:val="22"/>
                <w:szCs w:val="22"/>
              </w:rPr>
            </w:pPr>
            <w:r>
              <w:rPr>
                <w:rFonts w:ascii="Cambria" w:hAnsi="Cambria"/>
                <w:sz w:val="22"/>
                <w:szCs w:val="22"/>
              </w:rPr>
              <w:t>059/15</w:t>
            </w:r>
          </w:p>
        </w:tc>
        <w:tc>
          <w:tcPr>
            <w:tcW w:w="454" w:type="dxa"/>
          </w:tcPr>
          <w:p w:rsidR="003B44B6" w:rsidRPr="002A1DF3" w:rsidRDefault="002A1DF3" w:rsidP="002A1DF3">
            <w:pPr>
              <w:pStyle w:val="NoSpacing"/>
              <w:rPr>
                <w:rFonts w:ascii="Cambria" w:hAnsi="Cambria"/>
                <w:sz w:val="22"/>
                <w:szCs w:val="22"/>
              </w:rPr>
            </w:pPr>
            <w:r w:rsidRPr="002A1DF3">
              <w:rPr>
                <w:rFonts w:ascii="Cambria" w:hAnsi="Cambria"/>
                <w:sz w:val="22"/>
                <w:szCs w:val="22"/>
              </w:rPr>
              <w:t>.1</w:t>
            </w:r>
          </w:p>
          <w:p w:rsidR="002A1DF3" w:rsidRPr="002A1DF3" w:rsidRDefault="002A1DF3" w:rsidP="002A1DF3">
            <w:pPr>
              <w:pStyle w:val="NoSpacing"/>
              <w:rPr>
                <w:rFonts w:ascii="Cambria" w:hAnsi="Cambria"/>
                <w:sz w:val="22"/>
                <w:szCs w:val="22"/>
              </w:rPr>
            </w:pPr>
          </w:p>
          <w:p w:rsidR="002A1DF3" w:rsidRPr="002A1DF3" w:rsidRDefault="002A1DF3" w:rsidP="002A1DF3">
            <w:pPr>
              <w:pStyle w:val="NoSpacing"/>
              <w:rPr>
                <w:rFonts w:ascii="Cambria" w:hAnsi="Cambria"/>
                <w:sz w:val="22"/>
                <w:szCs w:val="22"/>
              </w:rPr>
            </w:pPr>
          </w:p>
          <w:p w:rsidR="002A1DF3" w:rsidRPr="002A1DF3" w:rsidRDefault="002A1DF3" w:rsidP="002A1DF3">
            <w:pPr>
              <w:pStyle w:val="NoSpacing"/>
              <w:rPr>
                <w:rFonts w:ascii="Cambria" w:hAnsi="Cambria"/>
                <w:sz w:val="22"/>
                <w:szCs w:val="22"/>
              </w:rPr>
            </w:pPr>
          </w:p>
          <w:p w:rsidR="002A1DF3" w:rsidRPr="002A1DF3" w:rsidRDefault="002A1DF3" w:rsidP="002A1DF3">
            <w:pPr>
              <w:pStyle w:val="NoSpacing"/>
              <w:rPr>
                <w:rFonts w:ascii="Cambria" w:hAnsi="Cambria"/>
                <w:sz w:val="22"/>
                <w:szCs w:val="22"/>
              </w:rPr>
            </w:pPr>
            <w:r w:rsidRPr="002A1DF3">
              <w:rPr>
                <w:rFonts w:ascii="Cambria" w:hAnsi="Cambria"/>
                <w:sz w:val="22"/>
                <w:szCs w:val="22"/>
              </w:rPr>
              <w:t>.2</w:t>
            </w:r>
          </w:p>
          <w:p w:rsidR="002A1DF3" w:rsidRPr="002A1DF3" w:rsidRDefault="002A1DF3" w:rsidP="002A1DF3">
            <w:pPr>
              <w:pStyle w:val="NoSpacing"/>
              <w:rPr>
                <w:rFonts w:ascii="Cambria" w:hAnsi="Cambria"/>
                <w:sz w:val="22"/>
                <w:szCs w:val="22"/>
              </w:rPr>
            </w:pPr>
          </w:p>
          <w:p w:rsidR="002A1DF3" w:rsidRDefault="002A1DF3" w:rsidP="002A1DF3">
            <w:pPr>
              <w:pStyle w:val="NoSpacing"/>
            </w:pPr>
            <w:r w:rsidRPr="002A1DF3">
              <w:rPr>
                <w:rFonts w:ascii="Cambria" w:hAnsi="Cambria"/>
                <w:sz w:val="22"/>
                <w:szCs w:val="22"/>
              </w:rPr>
              <w:t>.3</w:t>
            </w:r>
          </w:p>
        </w:tc>
        <w:tc>
          <w:tcPr>
            <w:tcW w:w="9071" w:type="dxa"/>
            <w:hideMark/>
          </w:tcPr>
          <w:p w:rsidR="003B44B6" w:rsidRPr="002A1DF3" w:rsidRDefault="003B44B6" w:rsidP="002A1DF3">
            <w:pPr>
              <w:pStyle w:val="NoSpacing"/>
              <w:rPr>
                <w:rFonts w:ascii="Cambria" w:hAnsi="Cambria"/>
                <w:sz w:val="22"/>
                <w:szCs w:val="22"/>
              </w:rPr>
            </w:pPr>
            <w:r w:rsidRPr="002A1DF3">
              <w:rPr>
                <w:rFonts w:ascii="Cambria" w:hAnsi="Cambria"/>
                <w:sz w:val="22"/>
                <w:szCs w:val="22"/>
                <w:shd w:val="clear" w:color="auto" w:fill="FFFFFF"/>
              </w:rPr>
              <w:t>To consider Planning Application NP/DDD/115/1064. North Lees Hall removal of condition of holiday let to allow for 1 long term let. There are no objections to this proposal and the Planning Committee feel that this is a good short term solution giving the owners time to consider the future of the property.</w:t>
            </w:r>
            <w:r w:rsidRPr="002A1DF3">
              <w:rPr>
                <w:rFonts w:ascii="Cambria" w:hAnsi="Cambria"/>
                <w:sz w:val="22"/>
                <w:szCs w:val="22"/>
              </w:rPr>
              <w:t xml:space="preserve"> </w:t>
            </w:r>
          </w:p>
          <w:p w:rsidR="003B44B6" w:rsidRPr="002A1DF3" w:rsidRDefault="003B44B6" w:rsidP="002A1DF3">
            <w:pPr>
              <w:pStyle w:val="NoSpacing"/>
              <w:rPr>
                <w:rFonts w:ascii="Cambria" w:hAnsi="Cambria"/>
                <w:sz w:val="22"/>
                <w:szCs w:val="22"/>
              </w:rPr>
            </w:pPr>
            <w:r w:rsidRPr="002A1DF3">
              <w:rPr>
                <w:rFonts w:ascii="Cambria" w:hAnsi="Cambria"/>
                <w:sz w:val="22"/>
                <w:szCs w:val="22"/>
              </w:rPr>
              <w:t>To consider Planning Application NP/DDD/1115/1056 Nether Hall. Information had been received from the Architect that this application had been withdrawn.</w:t>
            </w:r>
          </w:p>
          <w:p w:rsidR="003B44B6" w:rsidRPr="002A1DF3" w:rsidRDefault="003B44B6" w:rsidP="002A1DF3">
            <w:pPr>
              <w:pStyle w:val="NoSpacing"/>
              <w:rPr>
                <w:rFonts w:ascii="Cambria" w:hAnsi="Cambria"/>
                <w:sz w:val="22"/>
                <w:szCs w:val="22"/>
                <w:shd w:val="clear" w:color="auto" w:fill="FFFFFF"/>
              </w:rPr>
            </w:pPr>
            <w:r w:rsidRPr="002A1DF3">
              <w:rPr>
                <w:rFonts w:ascii="Cambria" w:hAnsi="Cambria"/>
                <w:sz w:val="22"/>
                <w:szCs w:val="22"/>
                <w:shd w:val="clear" w:color="auto" w:fill="FFFFFF"/>
              </w:rPr>
              <w:t>To consider Planning Application NP/DDD/1115/1067 2 Booths Edge, extension and alterations. Following a site visit, the Committee do not object to the intention to increase the capacity of the property into a more convenient living space but do have a number of concerns:-</w:t>
            </w:r>
          </w:p>
          <w:p w:rsidR="003B44B6" w:rsidRPr="002A1DF3" w:rsidRDefault="003B44B6" w:rsidP="002A1DF3">
            <w:pPr>
              <w:pStyle w:val="NoSpacing"/>
              <w:rPr>
                <w:rFonts w:ascii="Cambria" w:hAnsi="Cambria"/>
                <w:sz w:val="22"/>
                <w:szCs w:val="22"/>
                <w:shd w:val="clear" w:color="auto" w:fill="FFFFFF"/>
              </w:rPr>
            </w:pPr>
            <w:r w:rsidRPr="002A1DF3">
              <w:rPr>
                <w:rFonts w:ascii="Cambria" w:hAnsi="Cambria"/>
                <w:sz w:val="22"/>
                <w:szCs w:val="22"/>
                <w:shd w:val="clear" w:color="auto" w:fill="FFFFFF"/>
              </w:rPr>
              <w:t>If the roofline of the property was reduced b</w:t>
            </w:r>
            <w:r w:rsidR="00DD0414" w:rsidRPr="002A1DF3">
              <w:rPr>
                <w:rFonts w:ascii="Cambria" w:hAnsi="Cambria"/>
                <w:sz w:val="22"/>
                <w:szCs w:val="22"/>
                <w:shd w:val="clear" w:color="auto" w:fill="FFFFFF"/>
              </w:rPr>
              <w:t xml:space="preserve">etween </w:t>
            </w:r>
            <w:r w:rsidRPr="002A1DF3">
              <w:rPr>
                <w:rFonts w:ascii="Cambria" w:hAnsi="Cambria"/>
                <w:sz w:val="22"/>
                <w:szCs w:val="22"/>
                <w:shd w:val="clear" w:color="auto" w:fill="FFFFFF"/>
              </w:rPr>
              <w:t xml:space="preserve"> 30 cm</w:t>
            </w:r>
            <w:r w:rsidR="00DD0414" w:rsidRPr="002A1DF3">
              <w:rPr>
                <w:rFonts w:ascii="Cambria" w:hAnsi="Cambria"/>
                <w:sz w:val="22"/>
                <w:szCs w:val="22"/>
                <w:shd w:val="clear" w:color="auto" w:fill="FFFFFF"/>
              </w:rPr>
              <w:t>'</w:t>
            </w:r>
            <w:r w:rsidRPr="002A1DF3">
              <w:rPr>
                <w:rFonts w:ascii="Cambria" w:hAnsi="Cambria"/>
                <w:sz w:val="22"/>
                <w:szCs w:val="22"/>
                <w:shd w:val="clear" w:color="auto" w:fill="FFFFFF"/>
              </w:rPr>
              <w:t xml:space="preserve">s </w:t>
            </w:r>
            <w:r w:rsidR="00DD0414" w:rsidRPr="002A1DF3">
              <w:rPr>
                <w:rFonts w:ascii="Cambria" w:hAnsi="Cambria"/>
                <w:sz w:val="22"/>
                <w:szCs w:val="22"/>
                <w:shd w:val="clear" w:color="auto" w:fill="FFFFFF"/>
              </w:rPr>
              <w:t>and</w:t>
            </w:r>
            <w:r w:rsidRPr="002A1DF3">
              <w:rPr>
                <w:rFonts w:ascii="Cambria" w:hAnsi="Cambria"/>
                <w:sz w:val="22"/>
                <w:szCs w:val="22"/>
                <w:shd w:val="clear" w:color="auto" w:fill="FFFFFF"/>
              </w:rPr>
              <w:t xml:space="preserve"> 60 cm's this would be more sympathetic to the locale, ensuring that the individual identities in this conspicuous hamlet of characterful buildings is maintained.  Reservations are expressed about the glass balustrade which is not at all in keeping with the area, and the skylights in the extension appear to be unnecessary given the SW facing aspect.  There does not appear to be any provision for parking within the curtilage of the property, and the access to the property is via a public footpath.  Although this does appear to be used by vehicles, it is totally unsuitable for heavy vehicles whilst the proximity of the public footpath on which the property is situated raises public safety issues around delivery and storage of materials during construction. </w:t>
            </w:r>
          </w:p>
        </w:tc>
      </w:tr>
      <w:tr w:rsidR="003B44B6" w:rsidTr="003B44B6">
        <w:trPr>
          <w:trHeight w:val="283"/>
        </w:trPr>
        <w:tc>
          <w:tcPr>
            <w:tcW w:w="933" w:type="dxa"/>
            <w:hideMark/>
          </w:tcPr>
          <w:p w:rsidR="003B44B6" w:rsidRDefault="003B44B6">
            <w:pPr>
              <w:spacing w:line="276" w:lineRule="auto"/>
              <w:rPr>
                <w:rFonts w:ascii="Cambria" w:hAnsi="Cambria"/>
                <w:sz w:val="22"/>
                <w:szCs w:val="22"/>
              </w:rPr>
            </w:pPr>
            <w:r>
              <w:rPr>
                <w:rFonts w:ascii="Cambria" w:hAnsi="Cambria"/>
                <w:sz w:val="22"/>
                <w:szCs w:val="22"/>
              </w:rPr>
              <w:t>060/15</w:t>
            </w:r>
          </w:p>
        </w:tc>
        <w:tc>
          <w:tcPr>
            <w:tcW w:w="454" w:type="dxa"/>
          </w:tcPr>
          <w:p w:rsidR="003B44B6" w:rsidRDefault="003B44B6">
            <w:pPr>
              <w:spacing w:line="276" w:lineRule="auto"/>
              <w:rPr>
                <w:rFonts w:ascii="Cambria" w:hAnsi="Cambria"/>
                <w:sz w:val="22"/>
                <w:szCs w:val="22"/>
              </w:rPr>
            </w:pPr>
          </w:p>
        </w:tc>
        <w:tc>
          <w:tcPr>
            <w:tcW w:w="9071" w:type="dxa"/>
            <w:hideMark/>
          </w:tcPr>
          <w:p w:rsidR="003B44B6" w:rsidRDefault="003B44B6">
            <w:pPr>
              <w:spacing w:line="276" w:lineRule="auto"/>
              <w:rPr>
                <w:rFonts w:ascii="Cambria" w:hAnsi="Cambria"/>
                <w:sz w:val="22"/>
                <w:szCs w:val="22"/>
              </w:rPr>
            </w:pPr>
            <w:r>
              <w:rPr>
                <w:rFonts w:ascii="Cambria" w:hAnsi="Cambria"/>
                <w:sz w:val="22"/>
                <w:szCs w:val="22"/>
              </w:rPr>
              <w:t>Decision on Planning Application was noted:  NP/DDD/0915/0817 Cunliffe House  -granted</w:t>
            </w:r>
          </w:p>
          <w:p w:rsidR="003B44B6" w:rsidRDefault="003B44B6">
            <w:pPr>
              <w:spacing w:line="276" w:lineRule="auto"/>
              <w:rPr>
                <w:rFonts w:ascii="Cambria" w:hAnsi="Cambria"/>
                <w:sz w:val="22"/>
                <w:szCs w:val="22"/>
              </w:rPr>
            </w:pPr>
            <w:r>
              <w:rPr>
                <w:rFonts w:ascii="Cambria" w:hAnsi="Cambria"/>
                <w:sz w:val="22"/>
                <w:szCs w:val="22"/>
              </w:rPr>
              <w:t xml:space="preserve"> </w:t>
            </w:r>
          </w:p>
        </w:tc>
      </w:tr>
      <w:tr w:rsidR="003B44B6" w:rsidTr="003B44B6">
        <w:trPr>
          <w:trHeight w:val="283"/>
        </w:trPr>
        <w:tc>
          <w:tcPr>
            <w:tcW w:w="933" w:type="dxa"/>
          </w:tcPr>
          <w:p w:rsidR="003B44B6" w:rsidRDefault="003B44B6">
            <w:pPr>
              <w:spacing w:line="276" w:lineRule="auto"/>
              <w:rPr>
                <w:rFonts w:ascii="Cambria" w:hAnsi="Cambria"/>
                <w:sz w:val="22"/>
                <w:szCs w:val="22"/>
              </w:rPr>
            </w:pPr>
          </w:p>
        </w:tc>
        <w:tc>
          <w:tcPr>
            <w:tcW w:w="454" w:type="dxa"/>
          </w:tcPr>
          <w:p w:rsidR="003B44B6" w:rsidRDefault="003B44B6">
            <w:pPr>
              <w:spacing w:line="276" w:lineRule="auto"/>
              <w:rPr>
                <w:rFonts w:ascii="Cambria" w:hAnsi="Cambria"/>
                <w:sz w:val="22"/>
                <w:szCs w:val="22"/>
              </w:rPr>
            </w:pPr>
          </w:p>
        </w:tc>
        <w:tc>
          <w:tcPr>
            <w:tcW w:w="9071" w:type="dxa"/>
          </w:tcPr>
          <w:p w:rsidR="003B44B6" w:rsidRDefault="003B44B6">
            <w:pPr>
              <w:spacing w:line="276" w:lineRule="auto"/>
              <w:rPr>
                <w:rFonts w:ascii="Cambria" w:hAnsi="Cambria"/>
                <w:sz w:val="22"/>
                <w:szCs w:val="22"/>
              </w:rPr>
            </w:pPr>
            <w:r>
              <w:rPr>
                <w:rFonts w:ascii="Cambria" w:hAnsi="Cambria"/>
                <w:sz w:val="22"/>
                <w:szCs w:val="22"/>
              </w:rPr>
              <w:t>The next Planning Committee Meeting will be called at a date to be agreed.</w:t>
            </w:r>
            <w:bookmarkStart w:id="0" w:name="_GoBack"/>
            <w:bookmarkEnd w:id="0"/>
          </w:p>
          <w:p w:rsidR="003B44B6" w:rsidRDefault="003B44B6">
            <w:pPr>
              <w:spacing w:line="276" w:lineRule="auto"/>
              <w:rPr>
                <w:rFonts w:ascii="Cambria" w:hAnsi="Cambria"/>
                <w:sz w:val="22"/>
                <w:szCs w:val="22"/>
              </w:rPr>
            </w:pPr>
          </w:p>
          <w:p w:rsidR="003B44B6" w:rsidRDefault="003B44B6">
            <w:pPr>
              <w:spacing w:line="276" w:lineRule="auto"/>
              <w:rPr>
                <w:rFonts w:ascii="Cambria" w:hAnsi="Cambria"/>
                <w:sz w:val="22"/>
                <w:szCs w:val="22"/>
              </w:rPr>
            </w:pPr>
          </w:p>
          <w:p w:rsidR="003B44B6" w:rsidRDefault="003B44B6">
            <w:pPr>
              <w:spacing w:line="276" w:lineRule="auto"/>
              <w:rPr>
                <w:rFonts w:ascii="Cambria" w:hAnsi="Cambria"/>
                <w:sz w:val="22"/>
                <w:szCs w:val="22"/>
              </w:rPr>
            </w:pPr>
          </w:p>
          <w:p w:rsidR="003B44B6" w:rsidRDefault="003B44B6">
            <w:pPr>
              <w:spacing w:line="276" w:lineRule="auto"/>
              <w:rPr>
                <w:rFonts w:ascii="Cambria" w:hAnsi="Cambria"/>
                <w:sz w:val="22"/>
                <w:szCs w:val="22"/>
              </w:rPr>
            </w:pPr>
          </w:p>
          <w:p w:rsidR="003B44B6" w:rsidRDefault="003B44B6">
            <w:pPr>
              <w:spacing w:line="276" w:lineRule="auto"/>
              <w:rPr>
                <w:rFonts w:ascii="Cambria" w:hAnsi="Cambria"/>
                <w:sz w:val="22"/>
                <w:szCs w:val="22"/>
              </w:rPr>
            </w:pPr>
          </w:p>
          <w:p w:rsidR="003B44B6" w:rsidRDefault="003B44B6">
            <w:pPr>
              <w:tabs>
                <w:tab w:val="left" w:pos="0"/>
              </w:tabs>
              <w:spacing w:line="276" w:lineRule="auto"/>
              <w:outlineLvl w:val="0"/>
              <w:rPr>
                <w:rFonts w:ascii="Cambria" w:hAnsi="Cambria"/>
                <w:sz w:val="22"/>
                <w:szCs w:val="22"/>
              </w:rPr>
            </w:pPr>
            <w:r>
              <w:rPr>
                <w:rFonts w:ascii="Cambria" w:hAnsi="Cambria"/>
                <w:sz w:val="22"/>
                <w:szCs w:val="22"/>
              </w:rPr>
              <w:t>Page 1 of 1: Chair’s Signature: …………………………………………….  Date:</w:t>
            </w:r>
          </w:p>
          <w:p w:rsidR="003B44B6" w:rsidRDefault="003B44B6">
            <w:pPr>
              <w:spacing w:line="276" w:lineRule="auto"/>
              <w:rPr>
                <w:rFonts w:ascii="Cambria" w:hAnsi="Cambria"/>
                <w:sz w:val="22"/>
                <w:szCs w:val="22"/>
              </w:rPr>
            </w:pPr>
          </w:p>
        </w:tc>
      </w:tr>
    </w:tbl>
    <w:p w:rsidR="003B44B6" w:rsidRDefault="003B44B6" w:rsidP="003B44B6">
      <w:pPr>
        <w:rPr>
          <w:rFonts w:ascii="Cambria" w:hAnsi="Cambria"/>
          <w:sz w:val="22"/>
          <w:szCs w:val="22"/>
        </w:rPr>
      </w:pPr>
      <w:r>
        <w:rPr>
          <w:rFonts w:ascii="Cambria" w:hAnsi="Cambria"/>
          <w:sz w:val="22"/>
          <w:szCs w:val="22"/>
        </w:rPr>
        <w:t xml:space="preserve">      </w:t>
      </w:r>
    </w:p>
    <w:sectPr w:rsidR="003B44B6" w:rsidSect="0028780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DE2" w:rsidRDefault="00C21DE2" w:rsidP="007E726F">
      <w:r>
        <w:separator/>
      </w:r>
    </w:p>
  </w:endnote>
  <w:endnote w:type="continuationSeparator" w:id="1">
    <w:p w:rsidR="00C21DE2" w:rsidRDefault="00C21DE2" w:rsidP="007E72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F" w:rsidRDefault="007E72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F" w:rsidRDefault="007E72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F" w:rsidRDefault="007E7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DE2" w:rsidRDefault="00C21DE2" w:rsidP="007E726F">
      <w:r>
        <w:separator/>
      </w:r>
    </w:p>
  </w:footnote>
  <w:footnote w:type="continuationSeparator" w:id="1">
    <w:p w:rsidR="00C21DE2" w:rsidRDefault="00C21DE2" w:rsidP="007E7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F" w:rsidRDefault="007E72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844282"/>
      <w:docPartObj>
        <w:docPartGallery w:val="Watermarks"/>
        <w:docPartUnique/>
      </w:docPartObj>
    </w:sdtPr>
    <w:sdtContent>
      <w:p w:rsidR="007E726F" w:rsidRDefault="007E726F">
        <w:pPr>
          <w:pStyle w:val="Header"/>
        </w:pPr>
        <w:r w:rsidRPr="001A6E4E">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F" w:rsidRDefault="007E72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3B44B6"/>
    <w:rsid w:val="00015307"/>
    <w:rsid w:val="00287804"/>
    <w:rsid w:val="002A1DF3"/>
    <w:rsid w:val="002B3227"/>
    <w:rsid w:val="003B44B6"/>
    <w:rsid w:val="007E726F"/>
    <w:rsid w:val="00B24CDA"/>
    <w:rsid w:val="00C21DE2"/>
    <w:rsid w:val="00DD0414"/>
    <w:rsid w:val="00FF74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B6"/>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DF3"/>
    <w:pPr>
      <w:suppressAutoHyphens/>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7E726F"/>
    <w:pPr>
      <w:tabs>
        <w:tab w:val="center" w:pos="4513"/>
        <w:tab w:val="right" w:pos="9026"/>
      </w:tabs>
    </w:pPr>
  </w:style>
  <w:style w:type="character" w:customStyle="1" w:styleId="HeaderChar">
    <w:name w:val="Header Char"/>
    <w:basedOn w:val="DefaultParagraphFont"/>
    <w:link w:val="Header"/>
    <w:uiPriority w:val="99"/>
    <w:semiHidden/>
    <w:rsid w:val="007E726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E726F"/>
    <w:pPr>
      <w:tabs>
        <w:tab w:val="center" w:pos="4513"/>
        <w:tab w:val="right" w:pos="9026"/>
      </w:tabs>
    </w:pPr>
  </w:style>
  <w:style w:type="character" w:customStyle="1" w:styleId="FooterChar">
    <w:name w:val="Footer Char"/>
    <w:basedOn w:val="DefaultParagraphFont"/>
    <w:link w:val="Footer"/>
    <w:uiPriority w:val="99"/>
    <w:semiHidden/>
    <w:rsid w:val="007E726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534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chris wilkinson</cp:lastModifiedBy>
  <cp:revision>4</cp:revision>
  <cp:lastPrinted>2015-12-01T15:19:00Z</cp:lastPrinted>
  <dcterms:created xsi:type="dcterms:W3CDTF">2015-11-30T19:13:00Z</dcterms:created>
  <dcterms:modified xsi:type="dcterms:W3CDTF">2015-12-01T15:19:00Z</dcterms:modified>
</cp:coreProperties>
</file>