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FDE98" w14:textId="77777777" w:rsidR="00C924FB" w:rsidRDefault="00C924FB" w:rsidP="00C924FB">
      <w:pPr>
        <w:pStyle w:val="Default"/>
        <w:jc w:val="center"/>
        <w:rPr>
          <w:rFonts w:ascii="Arial Narrow" w:eastAsia="Arial Unicode MS" w:hAnsi="Arial Narrow" w:cs="Andalus"/>
          <w:b/>
          <w:bCs/>
          <w:sz w:val="72"/>
          <w:szCs w:val="72"/>
        </w:rPr>
      </w:pPr>
      <w:r>
        <w:rPr>
          <w:rFonts w:ascii="Lucida Sans Unicode" w:hAnsi="Lucida Sans Unicode" w:cs="Lucida Sans Unicode"/>
          <w:noProof/>
          <w:color w:val="205885"/>
          <w:sz w:val="19"/>
          <w:szCs w:val="19"/>
          <w:lang w:eastAsia="en-GB"/>
        </w:rPr>
        <w:t xml:space="preserve">                    </w:t>
      </w:r>
    </w:p>
    <w:p w14:paraId="5BE62726" w14:textId="77777777" w:rsidR="00C924FB" w:rsidRDefault="00C924FB" w:rsidP="00C924FB">
      <w:pPr>
        <w:pStyle w:val="Default"/>
        <w:jc w:val="center"/>
        <w:rPr>
          <w:rFonts w:ascii="Cambria" w:eastAsia="Arial Unicode MS" w:hAnsi="Cambria" w:cs="Andalus"/>
          <w:b/>
          <w:bCs/>
          <w:sz w:val="72"/>
          <w:szCs w:val="72"/>
        </w:rPr>
      </w:pPr>
      <w:r>
        <w:rPr>
          <w:rFonts w:ascii="Cambria" w:eastAsia="Arial Unicode MS" w:hAnsi="Cambria" w:cs="Andalus"/>
          <w:b/>
          <w:bCs/>
          <w:sz w:val="72"/>
          <w:szCs w:val="72"/>
        </w:rPr>
        <w:t xml:space="preserve">HATHERSAGE PARISH COUNCIL </w:t>
      </w:r>
    </w:p>
    <w:p w14:paraId="39FB2DF5" w14:textId="1F174CB3" w:rsidR="00C924FB" w:rsidRPr="00544F7D" w:rsidRDefault="00C924FB" w:rsidP="00C924FB">
      <w:pPr>
        <w:pStyle w:val="Default"/>
        <w:jc w:val="center"/>
        <w:rPr>
          <w:rFonts w:ascii="Cambria" w:hAnsi="Cambria" w:cs="Lucida Sans Unicode"/>
          <w:noProof/>
          <w:color w:val="205885"/>
          <w:sz w:val="72"/>
          <w:szCs w:val="72"/>
          <w:lang w:eastAsia="en-GB"/>
        </w:rPr>
      </w:pPr>
      <w:r>
        <w:rPr>
          <w:rFonts w:ascii="Cambria" w:eastAsia="Arial Unicode MS" w:hAnsi="Cambria" w:cs="Andalus"/>
          <w:b/>
          <w:bCs/>
          <w:sz w:val="72"/>
          <w:szCs w:val="72"/>
        </w:rPr>
        <w:t>COMMITTEE TERMS OF REFERENCE</w:t>
      </w:r>
    </w:p>
    <w:p w14:paraId="741EE771" w14:textId="77777777" w:rsidR="00C924FB" w:rsidRDefault="00C924FB" w:rsidP="00C924FB">
      <w:pPr>
        <w:pStyle w:val="Default"/>
        <w:rPr>
          <w:rFonts w:ascii="Lucida Sans Unicode" w:hAnsi="Lucida Sans Unicode" w:cs="Lucida Sans Unicode"/>
          <w:noProof/>
          <w:color w:val="205885"/>
          <w:sz w:val="19"/>
          <w:szCs w:val="19"/>
          <w:lang w:eastAsia="en-GB"/>
        </w:rPr>
      </w:pPr>
    </w:p>
    <w:p w14:paraId="3C19631E" w14:textId="77777777" w:rsidR="00C924FB" w:rsidRDefault="00C924FB" w:rsidP="00C924FB">
      <w:pPr>
        <w:pStyle w:val="Default"/>
        <w:jc w:val="center"/>
        <w:rPr>
          <w:rFonts w:ascii="Lucida Sans Unicode" w:hAnsi="Lucida Sans Unicode" w:cs="Lucida Sans Unicode"/>
          <w:noProof/>
          <w:color w:val="205885"/>
          <w:sz w:val="19"/>
          <w:szCs w:val="19"/>
          <w:lang w:eastAsia="en-GB"/>
        </w:rPr>
      </w:pPr>
    </w:p>
    <w:p w14:paraId="34FC4613" w14:textId="7FC2C938" w:rsidR="00C924FB" w:rsidRDefault="00C924FB" w:rsidP="00C924FB">
      <w:pPr>
        <w:pStyle w:val="Default"/>
        <w:jc w:val="center"/>
        <w:rPr>
          <w:rFonts w:ascii="Lucida Sans Unicode" w:hAnsi="Lucida Sans Unicode" w:cs="Lucida Sans Unicode"/>
          <w:noProof/>
          <w:color w:val="205885"/>
          <w:sz w:val="19"/>
          <w:szCs w:val="19"/>
          <w:lang w:eastAsia="en-GB"/>
        </w:rPr>
      </w:pPr>
      <w:r>
        <w:rPr>
          <w:noProof/>
        </w:rPr>
        <w:drawing>
          <wp:inline distT="0" distB="0" distL="0" distR="0" wp14:anchorId="59B876BC" wp14:editId="2960C06C">
            <wp:extent cx="2381250" cy="1790700"/>
            <wp:effectExtent l="0" t="0" r="0" b="0"/>
            <wp:docPr id="1" name="Picture 1" descr="home_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_1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4D190804" w14:textId="77777777" w:rsidR="00C924FB" w:rsidRDefault="00C924FB" w:rsidP="00C924FB">
      <w:pPr>
        <w:pStyle w:val="Default"/>
        <w:jc w:val="center"/>
        <w:rPr>
          <w:rFonts w:ascii="Lucida Sans Unicode" w:hAnsi="Lucida Sans Unicode" w:cs="Lucida Sans Unicode"/>
          <w:noProof/>
          <w:color w:val="205885"/>
          <w:sz w:val="19"/>
          <w:szCs w:val="19"/>
          <w:lang w:eastAsia="en-GB"/>
        </w:rPr>
      </w:pPr>
    </w:p>
    <w:p w14:paraId="5455555F" w14:textId="77777777" w:rsidR="00C924FB" w:rsidRDefault="00C924FB" w:rsidP="00C924FB">
      <w:pPr>
        <w:pStyle w:val="Default"/>
        <w:rPr>
          <w:rFonts w:ascii="Lucida Sans Unicode" w:hAnsi="Lucida Sans Unicode" w:cs="Lucida Sans Unicode"/>
          <w:noProof/>
          <w:color w:val="205885"/>
          <w:sz w:val="19"/>
          <w:szCs w:val="19"/>
          <w:lang w:eastAsia="en-GB"/>
        </w:rPr>
      </w:pPr>
      <w:r>
        <w:rPr>
          <w:rFonts w:ascii="Lucida Sans Unicode" w:hAnsi="Lucida Sans Unicode" w:cs="Lucida Sans Unicode"/>
          <w:noProof/>
          <w:color w:val="205885"/>
          <w:sz w:val="19"/>
          <w:szCs w:val="19"/>
          <w:lang w:eastAsia="en-GB"/>
        </w:rPr>
        <w:t xml:space="preserve">  </w:t>
      </w:r>
    </w:p>
    <w:p w14:paraId="68B90822" w14:textId="4F9763D6" w:rsidR="00C924FB" w:rsidRDefault="00C924FB" w:rsidP="00C924FB">
      <w:pPr>
        <w:pStyle w:val="Default"/>
        <w:jc w:val="center"/>
        <w:rPr>
          <w:rFonts w:ascii="Cambria" w:eastAsia="Arial Unicode MS" w:hAnsi="Cambria" w:cs="Andalus"/>
          <w:b/>
          <w:bCs/>
          <w:i/>
          <w:sz w:val="72"/>
          <w:szCs w:val="72"/>
        </w:rPr>
      </w:pPr>
      <w:r>
        <w:rPr>
          <w:rFonts w:ascii="Cambria" w:eastAsia="Arial Unicode MS" w:hAnsi="Cambria" w:cs="Andalus"/>
          <w:b/>
          <w:bCs/>
          <w:i/>
          <w:sz w:val="72"/>
          <w:szCs w:val="72"/>
        </w:rPr>
        <w:t>Recreation Committee</w:t>
      </w:r>
    </w:p>
    <w:p w14:paraId="1D79EC67" w14:textId="77777777" w:rsidR="00C924FB" w:rsidRPr="001D79FA" w:rsidRDefault="00C924FB" w:rsidP="00C924FB">
      <w:pPr>
        <w:pStyle w:val="Default"/>
        <w:jc w:val="center"/>
        <w:rPr>
          <w:rFonts w:ascii="Cambria" w:eastAsia="Arial Unicode MS" w:hAnsi="Cambria" w:cs="Andalu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15"/>
        <w:gridCol w:w="2995"/>
      </w:tblGrid>
      <w:tr w:rsidR="00C924FB" w:rsidRPr="00CC5068" w14:paraId="78E5965D" w14:textId="77777777" w:rsidTr="00BD4E90">
        <w:trPr>
          <w:trHeight w:val="292"/>
        </w:trPr>
        <w:tc>
          <w:tcPr>
            <w:tcW w:w="3080" w:type="dxa"/>
            <w:shd w:val="clear" w:color="auto" w:fill="auto"/>
          </w:tcPr>
          <w:p w14:paraId="696EDC0B" w14:textId="77777777" w:rsidR="00C924FB" w:rsidRPr="00CC5068" w:rsidRDefault="00C924FB" w:rsidP="00BD4E90">
            <w:pPr>
              <w:pStyle w:val="Default"/>
              <w:rPr>
                <w:b/>
                <w:sz w:val="22"/>
                <w:szCs w:val="22"/>
              </w:rPr>
            </w:pPr>
            <w:r w:rsidRPr="00CC5068">
              <w:rPr>
                <w:b/>
                <w:sz w:val="22"/>
                <w:szCs w:val="22"/>
              </w:rPr>
              <w:t>Version</w:t>
            </w:r>
          </w:p>
        </w:tc>
        <w:tc>
          <w:tcPr>
            <w:tcW w:w="3081" w:type="dxa"/>
            <w:shd w:val="clear" w:color="auto" w:fill="auto"/>
          </w:tcPr>
          <w:p w14:paraId="5CFC8DC7" w14:textId="77777777" w:rsidR="00C924FB" w:rsidRPr="00CC5068" w:rsidRDefault="00C924FB" w:rsidP="00BD4E90">
            <w:pPr>
              <w:pStyle w:val="Default"/>
              <w:rPr>
                <w:b/>
                <w:sz w:val="22"/>
                <w:szCs w:val="22"/>
              </w:rPr>
            </w:pPr>
            <w:r w:rsidRPr="00CC5068">
              <w:rPr>
                <w:b/>
                <w:sz w:val="22"/>
                <w:szCs w:val="22"/>
              </w:rPr>
              <w:t>Status</w:t>
            </w:r>
          </w:p>
        </w:tc>
        <w:tc>
          <w:tcPr>
            <w:tcW w:w="3081" w:type="dxa"/>
            <w:shd w:val="clear" w:color="auto" w:fill="auto"/>
          </w:tcPr>
          <w:p w14:paraId="5FD7E7D4" w14:textId="77777777" w:rsidR="00C924FB" w:rsidRPr="00CC5068" w:rsidRDefault="00C924FB" w:rsidP="00BD4E90">
            <w:pPr>
              <w:pStyle w:val="Default"/>
              <w:rPr>
                <w:b/>
                <w:sz w:val="22"/>
                <w:szCs w:val="22"/>
              </w:rPr>
            </w:pPr>
            <w:r w:rsidRPr="00CC5068">
              <w:rPr>
                <w:b/>
                <w:sz w:val="22"/>
                <w:szCs w:val="22"/>
              </w:rPr>
              <w:t>Date</w:t>
            </w:r>
          </w:p>
        </w:tc>
      </w:tr>
      <w:tr w:rsidR="00C924FB" w:rsidRPr="00CC5068" w14:paraId="2043E002" w14:textId="77777777" w:rsidTr="00BD4E90">
        <w:tc>
          <w:tcPr>
            <w:tcW w:w="3080" w:type="dxa"/>
            <w:shd w:val="clear" w:color="auto" w:fill="auto"/>
          </w:tcPr>
          <w:p w14:paraId="1AC672A3" w14:textId="76A49A91" w:rsidR="00C924FB" w:rsidRPr="00CC5068" w:rsidRDefault="00C924FB" w:rsidP="00BD4E90">
            <w:pPr>
              <w:pStyle w:val="Default"/>
              <w:rPr>
                <w:sz w:val="22"/>
                <w:szCs w:val="22"/>
              </w:rPr>
            </w:pPr>
          </w:p>
        </w:tc>
        <w:tc>
          <w:tcPr>
            <w:tcW w:w="3081" w:type="dxa"/>
            <w:shd w:val="clear" w:color="auto" w:fill="auto"/>
          </w:tcPr>
          <w:p w14:paraId="4A288CA3" w14:textId="77777777" w:rsidR="00C924FB" w:rsidRPr="00CC5068" w:rsidRDefault="00C924FB" w:rsidP="00BD4E90">
            <w:pPr>
              <w:pStyle w:val="Default"/>
              <w:rPr>
                <w:sz w:val="22"/>
                <w:szCs w:val="22"/>
              </w:rPr>
            </w:pPr>
          </w:p>
        </w:tc>
        <w:tc>
          <w:tcPr>
            <w:tcW w:w="3081" w:type="dxa"/>
            <w:shd w:val="clear" w:color="auto" w:fill="auto"/>
          </w:tcPr>
          <w:p w14:paraId="10A8369D" w14:textId="34C14C9B" w:rsidR="00C924FB" w:rsidRPr="00CC5068" w:rsidRDefault="00C924FB" w:rsidP="00BD4E90">
            <w:pPr>
              <w:pStyle w:val="Default"/>
              <w:rPr>
                <w:sz w:val="22"/>
                <w:szCs w:val="22"/>
              </w:rPr>
            </w:pPr>
          </w:p>
        </w:tc>
      </w:tr>
      <w:tr w:rsidR="00C924FB" w:rsidRPr="00CC5068" w14:paraId="7488E78B" w14:textId="77777777" w:rsidTr="00BD4E90">
        <w:tc>
          <w:tcPr>
            <w:tcW w:w="3080" w:type="dxa"/>
            <w:shd w:val="clear" w:color="auto" w:fill="auto"/>
          </w:tcPr>
          <w:p w14:paraId="66F55E54" w14:textId="18904B8A" w:rsidR="00C924FB" w:rsidRPr="00CC5068" w:rsidRDefault="00C924FB" w:rsidP="00C924FB">
            <w:pPr>
              <w:pStyle w:val="Default"/>
              <w:rPr>
                <w:b/>
                <w:sz w:val="22"/>
                <w:szCs w:val="22"/>
              </w:rPr>
            </w:pPr>
            <w:r w:rsidRPr="00CC5068">
              <w:rPr>
                <w:sz w:val="22"/>
                <w:szCs w:val="22"/>
              </w:rPr>
              <w:t>01</w:t>
            </w:r>
          </w:p>
        </w:tc>
        <w:tc>
          <w:tcPr>
            <w:tcW w:w="3081" w:type="dxa"/>
            <w:shd w:val="clear" w:color="auto" w:fill="auto"/>
          </w:tcPr>
          <w:p w14:paraId="6E309FCB" w14:textId="53A5EA38" w:rsidR="00C924FB" w:rsidRPr="00CC5068" w:rsidRDefault="00C924FB" w:rsidP="00C924FB">
            <w:pPr>
              <w:pStyle w:val="Default"/>
              <w:rPr>
                <w:b/>
                <w:sz w:val="22"/>
                <w:szCs w:val="22"/>
              </w:rPr>
            </w:pPr>
            <w:r>
              <w:rPr>
                <w:b/>
                <w:sz w:val="22"/>
                <w:szCs w:val="22"/>
              </w:rPr>
              <w:t>Approved</w:t>
            </w:r>
          </w:p>
        </w:tc>
        <w:tc>
          <w:tcPr>
            <w:tcW w:w="3081" w:type="dxa"/>
            <w:shd w:val="clear" w:color="auto" w:fill="auto"/>
          </w:tcPr>
          <w:p w14:paraId="5A6F226F" w14:textId="72AE9E35" w:rsidR="00C924FB" w:rsidRPr="00CC5068" w:rsidRDefault="00C924FB" w:rsidP="00C924FB">
            <w:pPr>
              <w:pStyle w:val="Default"/>
              <w:rPr>
                <w:b/>
                <w:sz w:val="22"/>
                <w:szCs w:val="22"/>
              </w:rPr>
            </w:pPr>
            <w:r>
              <w:rPr>
                <w:sz w:val="22"/>
                <w:szCs w:val="22"/>
              </w:rPr>
              <w:t>July 2015</w:t>
            </w:r>
          </w:p>
        </w:tc>
      </w:tr>
      <w:tr w:rsidR="00C924FB" w:rsidRPr="00CC5068" w14:paraId="7AC60E5F" w14:textId="77777777" w:rsidTr="00BD4E90">
        <w:tc>
          <w:tcPr>
            <w:tcW w:w="3080" w:type="dxa"/>
            <w:shd w:val="clear" w:color="auto" w:fill="auto"/>
          </w:tcPr>
          <w:p w14:paraId="4327BCED" w14:textId="77777777" w:rsidR="00C924FB" w:rsidRPr="00CC5068" w:rsidRDefault="00C924FB" w:rsidP="00C924FB">
            <w:pPr>
              <w:pStyle w:val="Default"/>
              <w:rPr>
                <w:b/>
                <w:sz w:val="22"/>
                <w:szCs w:val="22"/>
              </w:rPr>
            </w:pPr>
          </w:p>
        </w:tc>
        <w:tc>
          <w:tcPr>
            <w:tcW w:w="3081" w:type="dxa"/>
            <w:shd w:val="clear" w:color="auto" w:fill="auto"/>
          </w:tcPr>
          <w:p w14:paraId="6687ACA2" w14:textId="77777777" w:rsidR="00C924FB" w:rsidRPr="00CC5068" w:rsidRDefault="00C924FB" w:rsidP="00C924FB">
            <w:pPr>
              <w:pStyle w:val="Default"/>
              <w:rPr>
                <w:b/>
                <w:sz w:val="22"/>
                <w:szCs w:val="22"/>
              </w:rPr>
            </w:pPr>
          </w:p>
        </w:tc>
        <w:tc>
          <w:tcPr>
            <w:tcW w:w="3081" w:type="dxa"/>
            <w:shd w:val="clear" w:color="auto" w:fill="auto"/>
          </w:tcPr>
          <w:p w14:paraId="7DF6A933" w14:textId="77777777" w:rsidR="00C924FB" w:rsidRPr="00CC5068" w:rsidRDefault="00C924FB" w:rsidP="00C924FB">
            <w:pPr>
              <w:pStyle w:val="Default"/>
              <w:rPr>
                <w:b/>
                <w:sz w:val="22"/>
                <w:szCs w:val="22"/>
              </w:rPr>
            </w:pPr>
          </w:p>
        </w:tc>
      </w:tr>
    </w:tbl>
    <w:p w14:paraId="1B2254AA" w14:textId="77777777" w:rsidR="00C924FB" w:rsidRDefault="00C924FB" w:rsidP="00C924FB">
      <w:pPr>
        <w:pStyle w:val="Defaul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2"/>
        <w:gridCol w:w="2996"/>
      </w:tblGrid>
      <w:tr w:rsidR="00C924FB" w:rsidRPr="00CC5068" w14:paraId="20A3A6F9" w14:textId="77777777" w:rsidTr="00BD4E90">
        <w:tc>
          <w:tcPr>
            <w:tcW w:w="3080" w:type="dxa"/>
            <w:shd w:val="clear" w:color="auto" w:fill="auto"/>
          </w:tcPr>
          <w:p w14:paraId="0F16C4DE" w14:textId="77777777" w:rsidR="00C924FB" w:rsidRPr="00CC5068" w:rsidRDefault="00C924FB" w:rsidP="00BD4E90">
            <w:pPr>
              <w:pStyle w:val="Default"/>
              <w:rPr>
                <w:b/>
                <w:sz w:val="22"/>
                <w:szCs w:val="22"/>
              </w:rPr>
            </w:pPr>
            <w:r>
              <w:rPr>
                <w:b/>
                <w:sz w:val="22"/>
                <w:szCs w:val="22"/>
              </w:rPr>
              <w:t>Reviewed</w:t>
            </w:r>
          </w:p>
        </w:tc>
        <w:tc>
          <w:tcPr>
            <w:tcW w:w="3081" w:type="dxa"/>
            <w:shd w:val="clear" w:color="auto" w:fill="auto"/>
          </w:tcPr>
          <w:p w14:paraId="778B3A95" w14:textId="77777777" w:rsidR="00C924FB" w:rsidRPr="00CC5068" w:rsidRDefault="00C924FB" w:rsidP="00BD4E90">
            <w:pPr>
              <w:pStyle w:val="Default"/>
              <w:rPr>
                <w:b/>
                <w:sz w:val="22"/>
                <w:szCs w:val="22"/>
              </w:rPr>
            </w:pPr>
            <w:r>
              <w:rPr>
                <w:b/>
                <w:sz w:val="22"/>
                <w:szCs w:val="22"/>
              </w:rPr>
              <w:t>Date</w:t>
            </w:r>
          </w:p>
        </w:tc>
        <w:tc>
          <w:tcPr>
            <w:tcW w:w="3081" w:type="dxa"/>
            <w:shd w:val="clear" w:color="auto" w:fill="auto"/>
          </w:tcPr>
          <w:p w14:paraId="33536057" w14:textId="77777777" w:rsidR="00C924FB" w:rsidRPr="00CC5068" w:rsidRDefault="00C924FB" w:rsidP="00BD4E90">
            <w:pPr>
              <w:pStyle w:val="Default"/>
              <w:rPr>
                <w:b/>
                <w:sz w:val="22"/>
                <w:szCs w:val="22"/>
              </w:rPr>
            </w:pPr>
            <w:r>
              <w:rPr>
                <w:b/>
                <w:sz w:val="22"/>
                <w:szCs w:val="22"/>
              </w:rPr>
              <w:t>Next review</w:t>
            </w:r>
          </w:p>
        </w:tc>
      </w:tr>
      <w:tr w:rsidR="00C924FB" w:rsidRPr="00CC5068" w14:paraId="2A2A0C8D" w14:textId="77777777" w:rsidTr="00BD4E90">
        <w:tc>
          <w:tcPr>
            <w:tcW w:w="3080" w:type="dxa"/>
            <w:shd w:val="clear" w:color="auto" w:fill="auto"/>
          </w:tcPr>
          <w:p w14:paraId="41496F3B" w14:textId="651A9701" w:rsidR="00C924FB" w:rsidRPr="00CC5068" w:rsidRDefault="00C924FB" w:rsidP="00BD4E90">
            <w:pPr>
              <w:pStyle w:val="Default"/>
              <w:rPr>
                <w:sz w:val="22"/>
                <w:szCs w:val="22"/>
              </w:rPr>
            </w:pPr>
            <w:r>
              <w:rPr>
                <w:sz w:val="22"/>
                <w:szCs w:val="22"/>
              </w:rPr>
              <w:t>01</w:t>
            </w:r>
          </w:p>
        </w:tc>
        <w:tc>
          <w:tcPr>
            <w:tcW w:w="3081" w:type="dxa"/>
            <w:shd w:val="clear" w:color="auto" w:fill="auto"/>
          </w:tcPr>
          <w:p w14:paraId="393CFCEE" w14:textId="250C6A81" w:rsidR="00C924FB" w:rsidRPr="00CC5068" w:rsidRDefault="005169AE" w:rsidP="00BD4E90">
            <w:pPr>
              <w:pStyle w:val="Default"/>
              <w:rPr>
                <w:sz w:val="22"/>
                <w:szCs w:val="22"/>
              </w:rPr>
            </w:pPr>
            <w:r>
              <w:rPr>
                <w:sz w:val="22"/>
                <w:szCs w:val="22"/>
              </w:rPr>
              <w:t>28/05/2019</w:t>
            </w:r>
          </w:p>
        </w:tc>
        <w:tc>
          <w:tcPr>
            <w:tcW w:w="3081" w:type="dxa"/>
            <w:shd w:val="clear" w:color="auto" w:fill="auto"/>
          </w:tcPr>
          <w:p w14:paraId="73C00FC6" w14:textId="52CC5DAD" w:rsidR="00C924FB" w:rsidRPr="00CC5068" w:rsidRDefault="005169AE" w:rsidP="00BD4E90">
            <w:pPr>
              <w:pStyle w:val="Default"/>
              <w:rPr>
                <w:sz w:val="22"/>
                <w:szCs w:val="22"/>
              </w:rPr>
            </w:pPr>
            <w:r>
              <w:rPr>
                <w:sz w:val="22"/>
                <w:szCs w:val="22"/>
              </w:rPr>
              <w:t>2021</w:t>
            </w:r>
          </w:p>
        </w:tc>
      </w:tr>
      <w:tr w:rsidR="00C924FB" w:rsidRPr="00CC5068" w14:paraId="3BFA1426" w14:textId="77777777" w:rsidTr="00BD4E90">
        <w:tc>
          <w:tcPr>
            <w:tcW w:w="3080" w:type="dxa"/>
            <w:shd w:val="clear" w:color="auto" w:fill="auto"/>
          </w:tcPr>
          <w:p w14:paraId="2A304D2C" w14:textId="77777777" w:rsidR="00C924FB" w:rsidRPr="00CC5068" w:rsidRDefault="00C924FB" w:rsidP="00BD4E90">
            <w:pPr>
              <w:pStyle w:val="Default"/>
              <w:rPr>
                <w:b/>
                <w:sz w:val="22"/>
                <w:szCs w:val="22"/>
              </w:rPr>
            </w:pPr>
          </w:p>
        </w:tc>
        <w:tc>
          <w:tcPr>
            <w:tcW w:w="3081" w:type="dxa"/>
            <w:shd w:val="clear" w:color="auto" w:fill="auto"/>
          </w:tcPr>
          <w:p w14:paraId="1A0D638F" w14:textId="77777777" w:rsidR="00C924FB" w:rsidRPr="00CC5068" w:rsidRDefault="00C924FB" w:rsidP="00BD4E90">
            <w:pPr>
              <w:pStyle w:val="Default"/>
              <w:rPr>
                <w:b/>
                <w:sz w:val="22"/>
                <w:szCs w:val="22"/>
              </w:rPr>
            </w:pPr>
          </w:p>
        </w:tc>
        <w:tc>
          <w:tcPr>
            <w:tcW w:w="3081" w:type="dxa"/>
            <w:shd w:val="clear" w:color="auto" w:fill="auto"/>
          </w:tcPr>
          <w:p w14:paraId="0EB11EDF" w14:textId="77777777" w:rsidR="00C924FB" w:rsidRPr="00CC5068" w:rsidRDefault="00C924FB" w:rsidP="00BD4E90">
            <w:pPr>
              <w:pStyle w:val="Default"/>
              <w:rPr>
                <w:b/>
                <w:sz w:val="22"/>
                <w:szCs w:val="22"/>
              </w:rPr>
            </w:pPr>
          </w:p>
        </w:tc>
      </w:tr>
      <w:tr w:rsidR="00C924FB" w:rsidRPr="00CC5068" w14:paraId="1EB017DF" w14:textId="77777777" w:rsidTr="00BD4E90">
        <w:tc>
          <w:tcPr>
            <w:tcW w:w="3080" w:type="dxa"/>
            <w:shd w:val="clear" w:color="auto" w:fill="auto"/>
          </w:tcPr>
          <w:p w14:paraId="03E3C60F" w14:textId="77777777" w:rsidR="00C924FB" w:rsidRPr="00CC5068" w:rsidRDefault="00C924FB" w:rsidP="00BD4E90">
            <w:pPr>
              <w:pStyle w:val="Default"/>
              <w:rPr>
                <w:b/>
                <w:sz w:val="22"/>
                <w:szCs w:val="22"/>
              </w:rPr>
            </w:pPr>
          </w:p>
        </w:tc>
        <w:tc>
          <w:tcPr>
            <w:tcW w:w="3081" w:type="dxa"/>
            <w:shd w:val="clear" w:color="auto" w:fill="auto"/>
          </w:tcPr>
          <w:p w14:paraId="5431CF2B" w14:textId="77777777" w:rsidR="00C924FB" w:rsidRPr="00CC5068" w:rsidRDefault="00C924FB" w:rsidP="00BD4E90">
            <w:pPr>
              <w:pStyle w:val="Default"/>
              <w:rPr>
                <w:b/>
                <w:sz w:val="22"/>
                <w:szCs w:val="22"/>
              </w:rPr>
            </w:pPr>
          </w:p>
        </w:tc>
        <w:tc>
          <w:tcPr>
            <w:tcW w:w="3081" w:type="dxa"/>
            <w:shd w:val="clear" w:color="auto" w:fill="auto"/>
          </w:tcPr>
          <w:p w14:paraId="15E5746C" w14:textId="77777777" w:rsidR="00C924FB" w:rsidRPr="00CC5068" w:rsidRDefault="00C924FB" w:rsidP="00BD4E90">
            <w:pPr>
              <w:pStyle w:val="Default"/>
              <w:rPr>
                <w:b/>
                <w:sz w:val="22"/>
                <w:szCs w:val="22"/>
              </w:rPr>
            </w:pPr>
          </w:p>
        </w:tc>
      </w:tr>
    </w:tbl>
    <w:p w14:paraId="6490882C" w14:textId="77777777" w:rsidR="00C924FB" w:rsidRDefault="00C924FB" w:rsidP="00C924FB">
      <w:pPr>
        <w:pStyle w:val="Default"/>
      </w:pPr>
    </w:p>
    <w:p w14:paraId="17C4E8BD" w14:textId="2778B885" w:rsidR="00C924FB" w:rsidRDefault="00C924FB" w:rsidP="00C924FB">
      <w:pPr>
        <w:pStyle w:val="Default"/>
      </w:pPr>
    </w:p>
    <w:p w14:paraId="78214B96" w14:textId="77777777" w:rsidR="00C924FB" w:rsidRDefault="00C924FB" w:rsidP="00C924FB">
      <w:pPr>
        <w:pStyle w:val="Default"/>
      </w:pPr>
    </w:p>
    <w:p w14:paraId="4DE3DA83" w14:textId="3FF08841" w:rsidR="00C924FB" w:rsidRDefault="00C924FB">
      <w:pPr>
        <w:rPr>
          <w:rFonts w:ascii="Arial" w:eastAsia="Times New Roman" w:hAnsi="Arial" w:cs="Arial"/>
          <w:color w:val="000000"/>
          <w:sz w:val="23"/>
          <w:szCs w:val="23"/>
        </w:rPr>
      </w:pPr>
      <w:r>
        <w:rPr>
          <w:sz w:val="23"/>
          <w:szCs w:val="23"/>
        </w:rPr>
        <w:br w:type="page"/>
      </w:r>
    </w:p>
    <w:p w14:paraId="4AEED19A" w14:textId="77777777" w:rsidR="00C924FB" w:rsidRPr="0037797C" w:rsidRDefault="00C924FB" w:rsidP="00C924FB">
      <w:pPr>
        <w:pStyle w:val="Title"/>
        <w:contextualSpacing/>
        <w:rPr>
          <w:rFonts w:ascii="Cambria" w:hAnsi="Cambria"/>
          <w:sz w:val="24"/>
          <w:szCs w:val="24"/>
        </w:rPr>
      </w:pPr>
      <w:r w:rsidRPr="0037797C">
        <w:rPr>
          <w:rFonts w:ascii="Cambria" w:hAnsi="Cambria"/>
          <w:sz w:val="24"/>
          <w:szCs w:val="24"/>
        </w:rPr>
        <w:lastRenderedPageBreak/>
        <w:t xml:space="preserve">HATHERSAGE PARISH COUNCIL </w:t>
      </w:r>
    </w:p>
    <w:p w14:paraId="46EBE0B4" w14:textId="77777777" w:rsidR="00C924FB" w:rsidRPr="0037797C" w:rsidRDefault="00C924FB" w:rsidP="00C924FB">
      <w:pPr>
        <w:pStyle w:val="Title"/>
        <w:contextualSpacing/>
        <w:rPr>
          <w:rFonts w:ascii="Cambria" w:hAnsi="Cambria"/>
          <w:sz w:val="24"/>
          <w:szCs w:val="24"/>
        </w:rPr>
      </w:pPr>
    </w:p>
    <w:p w14:paraId="62183879" w14:textId="77777777" w:rsidR="00C924FB" w:rsidRPr="0037797C" w:rsidRDefault="00C924FB" w:rsidP="00C924FB">
      <w:pPr>
        <w:pStyle w:val="Title"/>
        <w:contextualSpacing/>
        <w:rPr>
          <w:rFonts w:ascii="Cambria" w:hAnsi="Cambria"/>
          <w:sz w:val="24"/>
          <w:szCs w:val="24"/>
        </w:rPr>
      </w:pPr>
      <w:r w:rsidRPr="0037797C">
        <w:rPr>
          <w:rFonts w:ascii="Cambria" w:hAnsi="Cambria"/>
          <w:sz w:val="24"/>
          <w:szCs w:val="24"/>
        </w:rPr>
        <w:t>RECREATION COMMITTEE</w:t>
      </w:r>
    </w:p>
    <w:p w14:paraId="563B670D" w14:textId="77777777" w:rsidR="00C924FB" w:rsidRPr="0037797C" w:rsidRDefault="00C924FB" w:rsidP="00C924FB">
      <w:pPr>
        <w:spacing w:after="0" w:line="240" w:lineRule="auto"/>
        <w:contextualSpacing/>
        <w:jc w:val="center"/>
        <w:rPr>
          <w:b/>
          <w:bCs/>
          <w:u w:val="single"/>
        </w:rPr>
      </w:pPr>
    </w:p>
    <w:p w14:paraId="3FED498B" w14:textId="77777777" w:rsidR="00C924FB" w:rsidRPr="0037797C" w:rsidRDefault="00C924FB" w:rsidP="00C924FB">
      <w:pPr>
        <w:spacing w:after="0" w:line="240" w:lineRule="auto"/>
        <w:contextualSpacing/>
        <w:jc w:val="center"/>
        <w:rPr>
          <w:b/>
          <w:bCs/>
          <w:u w:val="single"/>
        </w:rPr>
      </w:pPr>
      <w:r w:rsidRPr="0037797C">
        <w:rPr>
          <w:b/>
          <w:bCs/>
          <w:u w:val="single"/>
        </w:rPr>
        <w:t>TERMS of REFERENCE</w:t>
      </w:r>
    </w:p>
    <w:p w14:paraId="0D2B41F3" w14:textId="77777777" w:rsidR="00C924FB" w:rsidRDefault="00C924FB" w:rsidP="00C924FB">
      <w:pPr>
        <w:spacing w:after="0" w:line="240" w:lineRule="auto"/>
        <w:contextualSpacing/>
        <w:jc w:val="center"/>
        <w:rPr>
          <w:b/>
          <w:bCs/>
          <w:sz w:val="28"/>
          <w:u w:val="single"/>
        </w:rPr>
      </w:pPr>
    </w:p>
    <w:p w14:paraId="4F8DC2B2" w14:textId="77777777" w:rsidR="00C924FB" w:rsidRDefault="00C924FB" w:rsidP="00C924FB">
      <w:pPr>
        <w:spacing w:after="0" w:line="240" w:lineRule="auto"/>
        <w:contextualSpacing/>
        <w:jc w:val="both"/>
        <w:rPr>
          <w:b/>
          <w:bCs/>
          <w:u w:val="single"/>
        </w:rPr>
      </w:pPr>
      <w:r>
        <w:t>1</w:t>
      </w:r>
      <w:r>
        <w:tab/>
      </w:r>
      <w:r>
        <w:rPr>
          <w:b/>
          <w:bCs/>
          <w:u w:val="single"/>
        </w:rPr>
        <w:t>Committee</w:t>
      </w:r>
    </w:p>
    <w:p w14:paraId="0C730214" w14:textId="77777777" w:rsidR="00C924FB" w:rsidRDefault="00C924FB" w:rsidP="00C924FB">
      <w:pPr>
        <w:spacing w:after="0" w:line="240" w:lineRule="auto"/>
        <w:contextualSpacing/>
        <w:jc w:val="both"/>
        <w:rPr>
          <w:b/>
          <w:bCs/>
          <w:u w:val="single"/>
        </w:rPr>
      </w:pPr>
    </w:p>
    <w:p w14:paraId="332383D2" w14:textId="77777777" w:rsidR="00C924FB" w:rsidRDefault="00C924FB" w:rsidP="00C924FB">
      <w:pPr>
        <w:pStyle w:val="BodyTextIndent"/>
        <w:tabs>
          <w:tab w:val="left" w:pos="720"/>
        </w:tabs>
        <w:ind w:left="1440"/>
        <w:contextualSpacing/>
      </w:pPr>
      <w:r>
        <w:t>1.1</w:t>
      </w:r>
      <w:r>
        <w:tab/>
        <w:t>The Committee will consist of five Hathersage Parish Councillors.  The Chair and Deputy Chair of HPC are ex-officio members of all HPC Committees.</w:t>
      </w:r>
    </w:p>
    <w:p w14:paraId="7484DEDC" w14:textId="77777777" w:rsidR="00C924FB" w:rsidRDefault="00C924FB" w:rsidP="00C924FB">
      <w:pPr>
        <w:spacing w:after="0" w:line="240" w:lineRule="auto"/>
        <w:ind w:left="720" w:hanging="720"/>
        <w:contextualSpacing/>
        <w:jc w:val="both"/>
      </w:pPr>
    </w:p>
    <w:p w14:paraId="28669A61" w14:textId="77777777" w:rsidR="00C924FB" w:rsidRDefault="00C924FB" w:rsidP="00C924FB">
      <w:pPr>
        <w:pStyle w:val="BodyTextIndent2"/>
        <w:contextualSpacing/>
      </w:pPr>
      <w:r>
        <w:tab/>
        <w:t>1.2</w:t>
      </w:r>
      <w:r>
        <w:tab/>
        <w:t>The Committee has the power to co-opt specialists from outside bodies as it sees fit.</w:t>
      </w:r>
    </w:p>
    <w:p w14:paraId="033D49D8" w14:textId="77777777" w:rsidR="00C924FB" w:rsidRDefault="00C924FB" w:rsidP="00C924FB">
      <w:pPr>
        <w:pStyle w:val="BodyTextIndent2"/>
        <w:contextualSpacing/>
      </w:pPr>
    </w:p>
    <w:p w14:paraId="61468556" w14:textId="77777777" w:rsidR="00C924FB" w:rsidRDefault="00C924FB" w:rsidP="00C924FB">
      <w:pPr>
        <w:numPr>
          <w:ilvl w:val="1"/>
          <w:numId w:val="2"/>
        </w:numPr>
        <w:tabs>
          <w:tab w:val="clear" w:pos="1080"/>
          <w:tab w:val="left" w:pos="720"/>
          <w:tab w:val="num" w:pos="1440"/>
        </w:tabs>
        <w:spacing w:after="0" w:line="240" w:lineRule="auto"/>
        <w:ind w:left="1440" w:hanging="720"/>
        <w:contextualSpacing/>
        <w:jc w:val="both"/>
      </w:pPr>
      <w:r>
        <w:t>The quorum is three of the Hathersage Parish Council members.</w:t>
      </w:r>
    </w:p>
    <w:p w14:paraId="697611FA" w14:textId="77777777" w:rsidR="00C924FB" w:rsidRDefault="00C924FB" w:rsidP="00C924FB">
      <w:pPr>
        <w:tabs>
          <w:tab w:val="left" w:pos="720"/>
        </w:tabs>
        <w:spacing w:after="0" w:line="240" w:lineRule="auto"/>
        <w:contextualSpacing/>
        <w:jc w:val="both"/>
      </w:pPr>
    </w:p>
    <w:p w14:paraId="719C9D93" w14:textId="77777777" w:rsidR="00C924FB" w:rsidRDefault="00C924FB" w:rsidP="00C924FB">
      <w:pPr>
        <w:numPr>
          <w:ilvl w:val="1"/>
          <w:numId w:val="2"/>
        </w:numPr>
        <w:tabs>
          <w:tab w:val="clear" w:pos="1080"/>
          <w:tab w:val="left" w:pos="720"/>
          <w:tab w:val="num" w:pos="1440"/>
        </w:tabs>
        <w:spacing w:after="0" w:line="240" w:lineRule="auto"/>
        <w:ind w:left="1440" w:hanging="720"/>
        <w:contextualSpacing/>
        <w:jc w:val="both"/>
      </w:pPr>
      <w:r>
        <w:t>The Committee should after the start of the Council year appoint its Chairman and Vice Chairman from the HPC members.</w:t>
      </w:r>
    </w:p>
    <w:p w14:paraId="205616FA" w14:textId="77777777" w:rsidR="00C924FB" w:rsidRDefault="00C924FB" w:rsidP="00C924FB">
      <w:pPr>
        <w:tabs>
          <w:tab w:val="left" w:pos="720"/>
        </w:tabs>
        <w:spacing w:after="0" w:line="240" w:lineRule="auto"/>
        <w:contextualSpacing/>
        <w:jc w:val="both"/>
      </w:pPr>
    </w:p>
    <w:p w14:paraId="21BC30FD" w14:textId="77777777" w:rsidR="00C924FB" w:rsidRDefault="00C924FB" w:rsidP="00C924FB">
      <w:pPr>
        <w:numPr>
          <w:ilvl w:val="1"/>
          <w:numId w:val="2"/>
        </w:numPr>
        <w:tabs>
          <w:tab w:val="clear" w:pos="1080"/>
          <w:tab w:val="num" w:pos="1440"/>
        </w:tabs>
        <w:spacing w:after="0" w:line="240" w:lineRule="auto"/>
        <w:ind w:left="1440" w:hanging="720"/>
        <w:contextualSpacing/>
        <w:jc w:val="both"/>
      </w:pPr>
      <w:r>
        <w:t>In the case of a matter being put to the vote, only the HPC members have the right to vote.</w:t>
      </w:r>
    </w:p>
    <w:p w14:paraId="4BB02E47" w14:textId="77777777" w:rsidR="00C924FB" w:rsidRDefault="00C924FB" w:rsidP="00C924FB">
      <w:pPr>
        <w:spacing w:after="0" w:line="240" w:lineRule="auto"/>
        <w:contextualSpacing/>
        <w:jc w:val="both"/>
      </w:pPr>
    </w:p>
    <w:p w14:paraId="40EC47DD" w14:textId="77777777" w:rsidR="00C924FB" w:rsidRDefault="00C924FB" w:rsidP="00C924FB">
      <w:pPr>
        <w:pStyle w:val="Heading1"/>
        <w:numPr>
          <w:ilvl w:val="0"/>
          <w:numId w:val="0"/>
        </w:numPr>
        <w:ind w:left="720" w:hanging="720"/>
        <w:contextualSpacing/>
      </w:pPr>
      <w:r>
        <w:rPr>
          <w:b w:val="0"/>
          <w:bCs w:val="0"/>
          <w:u w:val="none"/>
        </w:rPr>
        <w:t>2</w:t>
      </w:r>
      <w:r>
        <w:rPr>
          <w:b w:val="0"/>
          <w:bCs w:val="0"/>
          <w:u w:val="none"/>
        </w:rPr>
        <w:tab/>
      </w:r>
      <w:r>
        <w:t>Meetings</w:t>
      </w:r>
    </w:p>
    <w:p w14:paraId="438DBC9B" w14:textId="77777777" w:rsidR="00C924FB" w:rsidRDefault="00C924FB" w:rsidP="00C924FB">
      <w:pPr>
        <w:spacing w:after="0" w:line="240" w:lineRule="auto"/>
        <w:contextualSpacing/>
      </w:pPr>
    </w:p>
    <w:p w14:paraId="2F895F8D" w14:textId="77777777" w:rsidR="00C924FB" w:rsidRDefault="00C924FB" w:rsidP="00C924FB">
      <w:pPr>
        <w:pStyle w:val="BodyTextIndent2"/>
        <w:contextualSpacing/>
      </w:pPr>
      <w:r>
        <w:tab/>
        <w:t>2.1</w:t>
      </w:r>
      <w:r>
        <w:tab/>
        <w:t>Meetings will normally be held on the third Tuesday of the months as and when required.  Any HPC member may instruct the Clerk to call a meeting.</w:t>
      </w:r>
    </w:p>
    <w:p w14:paraId="44236483" w14:textId="77777777" w:rsidR="00C924FB" w:rsidRDefault="00C924FB" w:rsidP="00C924FB">
      <w:pPr>
        <w:pStyle w:val="BodyTextIndent2"/>
        <w:contextualSpacing/>
      </w:pPr>
    </w:p>
    <w:p w14:paraId="1CD3C996" w14:textId="77777777" w:rsidR="00C924FB" w:rsidRDefault="00C924FB" w:rsidP="00C924FB">
      <w:pPr>
        <w:tabs>
          <w:tab w:val="left" w:pos="720"/>
        </w:tabs>
        <w:spacing w:after="0" w:line="240" w:lineRule="auto"/>
        <w:ind w:left="1440" w:hanging="1440"/>
        <w:contextualSpacing/>
        <w:jc w:val="both"/>
      </w:pPr>
      <w:r>
        <w:tab/>
        <w:t>2.2</w:t>
      </w:r>
      <w:r>
        <w:tab/>
        <w:t>Notice of meetings must be given in accordance with current regulations for Parish Councils.</w:t>
      </w:r>
    </w:p>
    <w:p w14:paraId="03E94AB9" w14:textId="77777777" w:rsidR="00C924FB" w:rsidRDefault="00C924FB" w:rsidP="00C924FB">
      <w:pPr>
        <w:tabs>
          <w:tab w:val="left" w:pos="720"/>
        </w:tabs>
        <w:spacing w:after="0" w:line="240" w:lineRule="auto"/>
        <w:ind w:left="1440" w:hanging="1440"/>
        <w:contextualSpacing/>
        <w:jc w:val="both"/>
      </w:pPr>
    </w:p>
    <w:p w14:paraId="27E45CC5" w14:textId="77777777" w:rsidR="00C924FB" w:rsidRDefault="00C924FB" w:rsidP="00C924FB">
      <w:pPr>
        <w:tabs>
          <w:tab w:val="left" w:pos="720"/>
        </w:tabs>
        <w:spacing w:after="0" w:line="240" w:lineRule="auto"/>
        <w:ind w:left="1440" w:hanging="1440"/>
        <w:contextualSpacing/>
        <w:jc w:val="both"/>
      </w:pPr>
      <w:r>
        <w:tab/>
        <w:t>2.3</w:t>
      </w:r>
      <w:r>
        <w:tab/>
        <w:t>Time shall be set aside at the beginning of all meetings for members of the public to address the meeting.</w:t>
      </w:r>
    </w:p>
    <w:p w14:paraId="7EC7C8EE" w14:textId="77777777" w:rsidR="00C924FB" w:rsidRDefault="00C924FB" w:rsidP="00C924FB">
      <w:pPr>
        <w:tabs>
          <w:tab w:val="left" w:pos="720"/>
        </w:tabs>
        <w:spacing w:after="0" w:line="240" w:lineRule="auto"/>
        <w:ind w:left="1440" w:hanging="1440"/>
        <w:contextualSpacing/>
        <w:jc w:val="both"/>
      </w:pPr>
    </w:p>
    <w:p w14:paraId="51744AB8" w14:textId="77777777" w:rsidR="00C924FB" w:rsidRDefault="00C924FB" w:rsidP="00C924FB">
      <w:pPr>
        <w:tabs>
          <w:tab w:val="left" w:pos="720"/>
        </w:tabs>
        <w:spacing w:after="0" w:line="240" w:lineRule="auto"/>
        <w:ind w:left="1440" w:hanging="1440"/>
        <w:contextualSpacing/>
        <w:jc w:val="both"/>
      </w:pPr>
      <w:r>
        <w:tab/>
        <w:t>2.4</w:t>
      </w:r>
      <w:r>
        <w:tab/>
        <w:t xml:space="preserve">All meetings to be </w:t>
      </w:r>
      <w:proofErr w:type="spellStart"/>
      <w:r>
        <w:t>minuted</w:t>
      </w:r>
      <w:proofErr w:type="spellEnd"/>
      <w:r>
        <w:t>, the minutes to be approved by the Committee at their next meeting.</w:t>
      </w:r>
    </w:p>
    <w:p w14:paraId="75636336" w14:textId="77777777" w:rsidR="00C924FB" w:rsidRDefault="00C924FB" w:rsidP="00C924FB">
      <w:pPr>
        <w:tabs>
          <w:tab w:val="left" w:pos="720"/>
        </w:tabs>
        <w:spacing w:after="0" w:line="240" w:lineRule="auto"/>
        <w:ind w:left="1440" w:hanging="1440"/>
        <w:contextualSpacing/>
        <w:jc w:val="both"/>
      </w:pPr>
    </w:p>
    <w:p w14:paraId="00E1FDD1" w14:textId="77777777" w:rsidR="00C924FB" w:rsidRDefault="00C924FB" w:rsidP="00C924FB">
      <w:pPr>
        <w:tabs>
          <w:tab w:val="left" w:pos="720"/>
        </w:tabs>
        <w:spacing w:after="0" w:line="240" w:lineRule="auto"/>
        <w:ind w:left="1440" w:hanging="1440"/>
        <w:contextualSpacing/>
        <w:jc w:val="both"/>
        <w:rPr>
          <w:b/>
          <w:bCs/>
          <w:u w:val="single"/>
        </w:rPr>
      </w:pPr>
      <w:r>
        <w:t>3</w:t>
      </w:r>
      <w:r>
        <w:tab/>
      </w:r>
      <w:r>
        <w:rPr>
          <w:b/>
          <w:bCs/>
          <w:u w:val="single"/>
        </w:rPr>
        <w:t>Terms of Reference</w:t>
      </w:r>
    </w:p>
    <w:p w14:paraId="78D2DD51" w14:textId="77777777" w:rsidR="00C924FB" w:rsidRDefault="00C924FB" w:rsidP="00C924FB">
      <w:pPr>
        <w:tabs>
          <w:tab w:val="left" w:pos="720"/>
        </w:tabs>
        <w:spacing w:after="0" w:line="240" w:lineRule="auto"/>
        <w:ind w:left="1440" w:hanging="1440"/>
        <w:contextualSpacing/>
        <w:jc w:val="both"/>
        <w:rPr>
          <w:b/>
          <w:bCs/>
          <w:u w:val="single"/>
        </w:rPr>
      </w:pPr>
    </w:p>
    <w:p w14:paraId="4C815494" w14:textId="77777777" w:rsidR="00C924FB" w:rsidRDefault="00C924FB" w:rsidP="00C924FB">
      <w:pPr>
        <w:pStyle w:val="BodyTextIndent2"/>
        <w:contextualSpacing/>
      </w:pPr>
      <w:r>
        <w:tab/>
        <w:t>3.1</w:t>
      </w:r>
      <w:r>
        <w:tab/>
        <w:t>The acts and proceedings of the Committee shall be submitted to Hathersage Parish Council for confirmation except where the Committee acts under powers delegated to it by the Parish Council, when its acts and proceedings shall be submitted for report only.  This report may be by way of submission of the Committee’s minutes to the Parish Council.  The Parish Council may note a minute to be “not received” as a mark of disapproval of the Committee’s action; otherwise the Parish Council is deemed to have approved the Committee’s actions.</w:t>
      </w:r>
    </w:p>
    <w:p w14:paraId="18968337" w14:textId="77777777" w:rsidR="00C924FB" w:rsidRDefault="00C924FB" w:rsidP="00C924FB">
      <w:pPr>
        <w:pStyle w:val="BodyTextIndent2"/>
        <w:contextualSpacing/>
      </w:pPr>
    </w:p>
    <w:p w14:paraId="61349977" w14:textId="77777777" w:rsidR="00C924FB" w:rsidRDefault="00C924FB" w:rsidP="00C924FB">
      <w:pPr>
        <w:tabs>
          <w:tab w:val="left" w:pos="720"/>
        </w:tabs>
        <w:spacing w:after="0" w:line="240" w:lineRule="auto"/>
        <w:ind w:left="1440" w:hanging="1440"/>
        <w:contextualSpacing/>
        <w:jc w:val="both"/>
      </w:pPr>
      <w:r>
        <w:tab/>
        <w:t>3.2</w:t>
      </w:r>
      <w:r>
        <w:tab/>
        <w:t xml:space="preserve">All powers listed in this document are delegated to the Committee except where there is a requirement to submit a recommendation to the Parish </w:t>
      </w:r>
      <w:r>
        <w:lastRenderedPageBreak/>
        <w:t>Council.  All delegated powers shall in any event be subject to the condition that either a major departure in policy or principle or any major formation of new policy or principle which would affect the use of the Parish Council’s resources or conflict with the provisions of the Parish Council’s policy plan shall be submitted to the Parish Council.  In all cases the Committee, when exercising its delegated powers, shall act in accordance with standing orders and financial regulations and shall give effect to any resolution of the Parish Council upon matters of policy and principle.  In case of doubt or difficulty the Committee shall submit the matter concerned to the Parish Council for approval.</w:t>
      </w:r>
    </w:p>
    <w:p w14:paraId="39F044D2" w14:textId="77777777" w:rsidR="00C924FB" w:rsidRDefault="00C924FB" w:rsidP="00C924FB">
      <w:pPr>
        <w:tabs>
          <w:tab w:val="left" w:pos="720"/>
        </w:tabs>
        <w:spacing w:after="0" w:line="240" w:lineRule="auto"/>
        <w:ind w:left="1440" w:hanging="1440"/>
        <w:contextualSpacing/>
        <w:jc w:val="both"/>
      </w:pPr>
    </w:p>
    <w:p w14:paraId="518CF6EB" w14:textId="77777777" w:rsidR="00C924FB" w:rsidRDefault="00C924FB" w:rsidP="00C924FB">
      <w:pPr>
        <w:pStyle w:val="BodyTextIndent2"/>
        <w:tabs>
          <w:tab w:val="left" w:pos="1440"/>
        </w:tabs>
        <w:contextualSpacing/>
      </w:pPr>
      <w:r>
        <w:tab/>
        <w:t>3.3</w:t>
      </w:r>
      <w:r>
        <w:tab/>
        <w:t xml:space="preserve">In addition to any matters which are specifically delegated from time to time to the Committee there shall be delegated, subject to any statutory requirement, scheme or order, the following </w:t>
      </w:r>
      <w:proofErr w:type="gramStart"/>
      <w:r>
        <w:t>powers:-</w:t>
      </w:r>
      <w:proofErr w:type="gramEnd"/>
    </w:p>
    <w:p w14:paraId="27E96BEA" w14:textId="77777777" w:rsidR="00C924FB" w:rsidRDefault="00C924FB" w:rsidP="00C924FB">
      <w:pPr>
        <w:pStyle w:val="BodyTextIndent2"/>
        <w:tabs>
          <w:tab w:val="left" w:pos="1440"/>
        </w:tabs>
        <w:contextualSpacing/>
      </w:pPr>
    </w:p>
    <w:p w14:paraId="40DDC1FB" w14:textId="77777777" w:rsidR="00C924FB" w:rsidRDefault="00C924FB" w:rsidP="00C924FB">
      <w:pPr>
        <w:numPr>
          <w:ilvl w:val="2"/>
          <w:numId w:val="3"/>
        </w:numPr>
        <w:tabs>
          <w:tab w:val="left" w:pos="720"/>
          <w:tab w:val="left" w:pos="1440"/>
        </w:tabs>
        <w:spacing w:after="0" w:line="240" w:lineRule="auto"/>
        <w:contextualSpacing/>
        <w:jc w:val="both"/>
      </w:pPr>
      <w:r>
        <w:t xml:space="preserve">To authorise any urgent steps to be taken to defend any proceedings instituted against the Parish Council in any court or tribunal including the briefing of Counsel, payment of monies into court and settlement of actions upon such terms as may seem advisable; and </w:t>
      </w:r>
    </w:p>
    <w:p w14:paraId="16678916" w14:textId="77777777" w:rsidR="00C924FB" w:rsidRDefault="00C924FB" w:rsidP="00C924FB">
      <w:pPr>
        <w:tabs>
          <w:tab w:val="left" w:pos="720"/>
          <w:tab w:val="left" w:pos="1440"/>
          <w:tab w:val="left" w:pos="2160"/>
        </w:tabs>
        <w:spacing w:after="0" w:line="240" w:lineRule="auto"/>
        <w:ind w:left="1440"/>
        <w:contextualSpacing/>
        <w:jc w:val="both"/>
      </w:pPr>
    </w:p>
    <w:p w14:paraId="1D02CEBC" w14:textId="77777777" w:rsidR="00C924FB" w:rsidRDefault="00C924FB" w:rsidP="00C924FB">
      <w:pPr>
        <w:numPr>
          <w:ilvl w:val="2"/>
          <w:numId w:val="3"/>
        </w:numPr>
        <w:tabs>
          <w:tab w:val="left" w:pos="720"/>
          <w:tab w:val="left" w:pos="1440"/>
        </w:tabs>
        <w:spacing w:after="0" w:line="240" w:lineRule="auto"/>
        <w:contextualSpacing/>
        <w:jc w:val="both"/>
      </w:pPr>
      <w:r>
        <w:t>To appoint representatives to attend annual conferences so long as provision in estimates is not exceeded.</w:t>
      </w:r>
    </w:p>
    <w:p w14:paraId="0FC1CF8D" w14:textId="77777777" w:rsidR="00C924FB" w:rsidRDefault="00C924FB" w:rsidP="00C924FB">
      <w:pPr>
        <w:tabs>
          <w:tab w:val="left" w:pos="720"/>
          <w:tab w:val="left" w:pos="1440"/>
        </w:tabs>
        <w:spacing w:after="0" w:line="240" w:lineRule="auto"/>
        <w:contextualSpacing/>
        <w:jc w:val="both"/>
      </w:pPr>
    </w:p>
    <w:p w14:paraId="1944121E" w14:textId="77777777" w:rsidR="00C924FB" w:rsidRDefault="00C924FB" w:rsidP="00C924FB">
      <w:pPr>
        <w:tabs>
          <w:tab w:val="left" w:pos="720"/>
          <w:tab w:val="left" w:pos="1440"/>
          <w:tab w:val="left" w:pos="2160"/>
        </w:tabs>
        <w:spacing w:after="0" w:line="240" w:lineRule="auto"/>
        <w:contextualSpacing/>
        <w:jc w:val="both"/>
        <w:rPr>
          <w:b/>
          <w:bCs/>
          <w:u w:val="single"/>
        </w:rPr>
      </w:pPr>
      <w:r>
        <w:t>4</w:t>
      </w:r>
      <w:r>
        <w:tab/>
      </w:r>
      <w:r>
        <w:rPr>
          <w:b/>
          <w:bCs/>
          <w:u w:val="single"/>
        </w:rPr>
        <w:t>Delegated Powers</w:t>
      </w:r>
    </w:p>
    <w:p w14:paraId="6377BDB9" w14:textId="77777777" w:rsidR="00C924FB" w:rsidRDefault="00C924FB" w:rsidP="00C924FB">
      <w:pPr>
        <w:tabs>
          <w:tab w:val="left" w:pos="720"/>
          <w:tab w:val="left" w:pos="1440"/>
          <w:tab w:val="left" w:pos="2160"/>
        </w:tabs>
        <w:spacing w:after="0" w:line="240" w:lineRule="auto"/>
        <w:contextualSpacing/>
        <w:jc w:val="both"/>
        <w:rPr>
          <w:b/>
          <w:bCs/>
          <w:u w:val="single"/>
        </w:rPr>
      </w:pPr>
    </w:p>
    <w:p w14:paraId="03B63E39" w14:textId="77777777" w:rsidR="00C924FB" w:rsidRDefault="00C924FB" w:rsidP="00C924FB">
      <w:pPr>
        <w:tabs>
          <w:tab w:val="left" w:pos="720"/>
          <w:tab w:val="left" w:pos="1440"/>
          <w:tab w:val="left" w:pos="2160"/>
        </w:tabs>
        <w:spacing w:after="0" w:line="240" w:lineRule="auto"/>
        <w:ind w:left="1440" w:hanging="1440"/>
        <w:contextualSpacing/>
        <w:jc w:val="both"/>
      </w:pPr>
      <w:r>
        <w:tab/>
        <w:t>4.1</w:t>
      </w:r>
      <w:r>
        <w:tab/>
        <w:t xml:space="preserve">To be responsible for the operation of the Recreation facilities </w:t>
      </w:r>
      <w:proofErr w:type="gramStart"/>
      <w:r>
        <w:t>with the exception of</w:t>
      </w:r>
      <w:proofErr w:type="gramEnd"/>
      <w:r>
        <w:t xml:space="preserve"> the Swimming Pool.</w:t>
      </w:r>
    </w:p>
    <w:p w14:paraId="017DC649" w14:textId="77777777" w:rsidR="00C924FB" w:rsidRDefault="00C924FB" w:rsidP="00C924FB">
      <w:pPr>
        <w:tabs>
          <w:tab w:val="left" w:pos="720"/>
          <w:tab w:val="left" w:pos="1440"/>
          <w:tab w:val="left" w:pos="2160"/>
        </w:tabs>
        <w:spacing w:after="0" w:line="240" w:lineRule="auto"/>
        <w:contextualSpacing/>
        <w:jc w:val="both"/>
      </w:pPr>
    </w:p>
    <w:p w14:paraId="512C8D20" w14:textId="77777777" w:rsidR="00C924FB" w:rsidRDefault="00C924FB" w:rsidP="00C924FB">
      <w:pPr>
        <w:pStyle w:val="BodyTextIndent2"/>
        <w:tabs>
          <w:tab w:val="left" w:pos="1440"/>
          <w:tab w:val="left" w:pos="2160"/>
        </w:tabs>
        <w:contextualSpacing/>
      </w:pPr>
      <w:r>
        <w:tab/>
        <w:t>4.2</w:t>
      </w:r>
      <w:r>
        <w:tab/>
        <w:t xml:space="preserve">In exercising this responsibility the Committee specifically has the following </w:t>
      </w:r>
      <w:proofErr w:type="gramStart"/>
      <w:r>
        <w:t>powers:-</w:t>
      </w:r>
      <w:proofErr w:type="gramEnd"/>
    </w:p>
    <w:p w14:paraId="352EDDB8" w14:textId="77777777" w:rsidR="00C924FB" w:rsidRDefault="00C924FB" w:rsidP="00C924FB">
      <w:pPr>
        <w:tabs>
          <w:tab w:val="left" w:pos="720"/>
          <w:tab w:val="left" w:pos="1440"/>
          <w:tab w:val="left" w:pos="2160"/>
        </w:tabs>
        <w:spacing w:after="0" w:line="240" w:lineRule="auto"/>
        <w:ind w:left="1440" w:hanging="1440"/>
        <w:contextualSpacing/>
        <w:jc w:val="both"/>
      </w:pPr>
    </w:p>
    <w:p w14:paraId="61FC99A8" w14:textId="77777777" w:rsidR="00C924FB" w:rsidRDefault="00C924FB" w:rsidP="00C924FB">
      <w:pPr>
        <w:pStyle w:val="BodyTextIndent3"/>
        <w:contextualSpacing/>
      </w:pPr>
      <w:r>
        <w:tab/>
      </w:r>
      <w:r>
        <w:tab/>
        <w:t>4.2.1</w:t>
      </w:r>
      <w:r>
        <w:tab/>
        <w:t>To incur expenditure in the normal course of operations to the extent that such expenditure is included in the Parish Council’s budget.</w:t>
      </w:r>
    </w:p>
    <w:p w14:paraId="329FBC9D" w14:textId="77777777" w:rsidR="00C924FB" w:rsidRDefault="00C924FB" w:rsidP="00C924FB">
      <w:pPr>
        <w:tabs>
          <w:tab w:val="left" w:pos="720"/>
          <w:tab w:val="left" w:pos="1440"/>
          <w:tab w:val="left" w:pos="2160"/>
        </w:tabs>
        <w:spacing w:after="0" w:line="240" w:lineRule="auto"/>
        <w:ind w:left="2160" w:hanging="2160"/>
        <w:contextualSpacing/>
        <w:jc w:val="both"/>
      </w:pPr>
    </w:p>
    <w:p w14:paraId="3513B32B" w14:textId="77777777" w:rsidR="00C924FB" w:rsidRDefault="00C924FB" w:rsidP="00C924FB">
      <w:pPr>
        <w:tabs>
          <w:tab w:val="left" w:pos="720"/>
          <w:tab w:val="left" w:pos="1440"/>
          <w:tab w:val="left" w:pos="2160"/>
        </w:tabs>
        <w:spacing w:after="0" w:line="240" w:lineRule="auto"/>
        <w:ind w:left="2160" w:hanging="2160"/>
        <w:contextualSpacing/>
        <w:jc w:val="both"/>
      </w:pPr>
      <w:r>
        <w:tab/>
      </w:r>
      <w:r>
        <w:tab/>
        <w:t>4.2.2</w:t>
      </w:r>
      <w:r>
        <w:tab/>
        <w:t>To incur expenditure in excess of the Parish Council’s budget when such expenditure is necessary to protect the Parish Council’s assets, to ensure the safety of the general public or to enable the facilities to remain open.</w:t>
      </w:r>
    </w:p>
    <w:p w14:paraId="4FCD542F" w14:textId="77777777" w:rsidR="00C924FB" w:rsidRDefault="00C924FB" w:rsidP="00C924FB">
      <w:pPr>
        <w:tabs>
          <w:tab w:val="left" w:pos="720"/>
          <w:tab w:val="left" w:pos="1440"/>
          <w:tab w:val="left" w:pos="2160"/>
        </w:tabs>
        <w:spacing w:after="0" w:line="240" w:lineRule="auto"/>
        <w:ind w:left="2160" w:hanging="2160"/>
        <w:contextualSpacing/>
        <w:jc w:val="both"/>
      </w:pPr>
      <w:r>
        <w:tab/>
      </w:r>
    </w:p>
    <w:p w14:paraId="13236791" w14:textId="77777777" w:rsidR="00C924FB" w:rsidRPr="00AD45E7" w:rsidRDefault="00C924FB" w:rsidP="00C924FB">
      <w:pPr>
        <w:tabs>
          <w:tab w:val="left" w:pos="720"/>
          <w:tab w:val="left" w:pos="1440"/>
          <w:tab w:val="left" w:pos="2160"/>
        </w:tabs>
        <w:spacing w:after="0" w:line="240" w:lineRule="auto"/>
        <w:ind w:left="1440" w:hanging="1440"/>
        <w:contextualSpacing/>
      </w:pPr>
      <w:r>
        <w:tab/>
      </w:r>
      <w:r w:rsidRPr="00AD45E7">
        <w:t>4.3</w:t>
      </w:r>
      <w:r w:rsidRPr="00AD45E7">
        <w:tab/>
        <w:t>In exercising this responsibility the Commit</w:t>
      </w:r>
      <w:r>
        <w:t xml:space="preserve">tee does not have the following </w:t>
      </w:r>
      <w:proofErr w:type="gramStart"/>
      <w:r>
        <w:t>p</w:t>
      </w:r>
      <w:r w:rsidRPr="00AD45E7">
        <w:t>owers:-</w:t>
      </w:r>
      <w:proofErr w:type="gramEnd"/>
    </w:p>
    <w:p w14:paraId="5048ED02" w14:textId="77777777" w:rsidR="00C924FB" w:rsidRPr="00AD45E7" w:rsidRDefault="00C924FB" w:rsidP="00C924FB">
      <w:pPr>
        <w:tabs>
          <w:tab w:val="left" w:pos="720"/>
          <w:tab w:val="left" w:pos="1440"/>
          <w:tab w:val="left" w:pos="2160"/>
        </w:tabs>
        <w:spacing w:after="0" w:line="240" w:lineRule="auto"/>
        <w:ind w:left="1440" w:hanging="1440"/>
        <w:contextualSpacing/>
        <w:jc w:val="both"/>
      </w:pPr>
    </w:p>
    <w:p w14:paraId="18B93C92" w14:textId="77777777" w:rsidR="00C924FB" w:rsidRDefault="00C924FB" w:rsidP="00C924FB">
      <w:pPr>
        <w:tabs>
          <w:tab w:val="left" w:pos="720"/>
          <w:tab w:val="left" w:pos="1440"/>
          <w:tab w:val="left" w:pos="2160"/>
        </w:tabs>
        <w:spacing w:after="0" w:line="240" w:lineRule="auto"/>
        <w:ind w:left="1440" w:hanging="1440"/>
        <w:contextualSpacing/>
        <w:jc w:val="both"/>
      </w:pPr>
      <w:r>
        <w:tab/>
      </w:r>
      <w:r>
        <w:tab/>
        <w:t>4.3.1</w:t>
      </w:r>
      <w:r>
        <w:tab/>
        <w:t>To incur individual items of expenditure in excess of £1,000.</w:t>
      </w:r>
    </w:p>
    <w:p w14:paraId="15557486" w14:textId="77777777" w:rsidR="00C924FB" w:rsidRDefault="00C924FB" w:rsidP="00C924FB">
      <w:pPr>
        <w:tabs>
          <w:tab w:val="left" w:pos="720"/>
          <w:tab w:val="left" w:pos="1440"/>
          <w:tab w:val="left" w:pos="2160"/>
        </w:tabs>
        <w:spacing w:after="0" w:line="240" w:lineRule="auto"/>
        <w:ind w:left="1440" w:hanging="1440"/>
        <w:contextualSpacing/>
        <w:jc w:val="both"/>
      </w:pPr>
    </w:p>
    <w:p w14:paraId="0A63F719" w14:textId="2D56FF4D" w:rsidR="00C924FB" w:rsidRDefault="00C924FB" w:rsidP="00C924FB">
      <w:pPr>
        <w:tabs>
          <w:tab w:val="left" w:pos="720"/>
          <w:tab w:val="left" w:pos="1440"/>
          <w:tab w:val="left" w:pos="2160"/>
        </w:tabs>
        <w:spacing w:after="0" w:line="240" w:lineRule="auto"/>
        <w:ind w:left="2160" w:hanging="2160"/>
        <w:contextualSpacing/>
        <w:jc w:val="both"/>
      </w:pPr>
      <w:r>
        <w:tab/>
      </w:r>
      <w:r>
        <w:tab/>
        <w:t>4.3.2</w:t>
      </w:r>
      <w:r>
        <w:tab/>
      </w:r>
      <w:r w:rsidRPr="00AD45E7">
        <w:t xml:space="preserve">To change charges agreed by </w:t>
      </w:r>
      <w:r>
        <w:t>Hathersage</w:t>
      </w:r>
      <w:r w:rsidRPr="00AD45E7">
        <w:t xml:space="preserve"> Parish Council for admission to its facilities.</w:t>
      </w:r>
    </w:p>
    <w:p w14:paraId="7D8CEB9C" w14:textId="2237BA2F" w:rsidR="00534E65" w:rsidRDefault="00534E65" w:rsidP="00C924FB">
      <w:pPr>
        <w:tabs>
          <w:tab w:val="left" w:pos="720"/>
          <w:tab w:val="left" w:pos="1440"/>
          <w:tab w:val="left" w:pos="2160"/>
        </w:tabs>
        <w:spacing w:after="0" w:line="240" w:lineRule="auto"/>
        <w:ind w:left="2160" w:hanging="2160"/>
        <w:contextualSpacing/>
        <w:jc w:val="both"/>
      </w:pPr>
    </w:p>
    <w:p w14:paraId="4EEE4FF3" w14:textId="277E03EE" w:rsidR="00534E65" w:rsidRDefault="00534E65" w:rsidP="00C924FB">
      <w:pPr>
        <w:tabs>
          <w:tab w:val="left" w:pos="720"/>
          <w:tab w:val="left" w:pos="1440"/>
          <w:tab w:val="left" w:pos="2160"/>
        </w:tabs>
        <w:spacing w:after="0" w:line="240" w:lineRule="auto"/>
        <w:ind w:left="2160" w:hanging="2160"/>
        <w:contextualSpacing/>
        <w:jc w:val="both"/>
      </w:pPr>
    </w:p>
    <w:p w14:paraId="28699575" w14:textId="77777777" w:rsidR="00534E65" w:rsidRDefault="00534E65" w:rsidP="00C924FB">
      <w:pPr>
        <w:tabs>
          <w:tab w:val="left" w:pos="720"/>
          <w:tab w:val="left" w:pos="1440"/>
          <w:tab w:val="left" w:pos="2160"/>
        </w:tabs>
        <w:spacing w:after="0" w:line="240" w:lineRule="auto"/>
        <w:ind w:left="2160" w:hanging="2160"/>
        <w:contextualSpacing/>
        <w:jc w:val="both"/>
      </w:pPr>
    </w:p>
    <w:p w14:paraId="0DA96F30" w14:textId="77777777" w:rsidR="00C924FB" w:rsidRPr="00826F4C" w:rsidRDefault="00C924FB" w:rsidP="00C924FB">
      <w:pPr>
        <w:pStyle w:val="Default"/>
        <w:rPr>
          <w:b/>
          <w:sz w:val="22"/>
          <w:szCs w:val="22"/>
          <w:u w:val="single"/>
        </w:rPr>
      </w:pPr>
      <w:r w:rsidRPr="00826F4C">
        <w:rPr>
          <w:b/>
          <w:sz w:val="22"/>
          <w:szCs w:val="22"/>
          <w:u w:val="single"/>
        </w:rPr>
        <w:lastRenderedPageBreak/>
        <w:t>History of changes</w:t>
      </w:r>
    </w:p>
    <w:tbl>
      <w:tblPr>
        <w:tblW w:w="9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318"/>
        <w:gridCol w:w="6593"/>
      </w:tblGrid>
      <w:tr w:rsidR="00C924FB" w:rsidRPr="00826F4C" w14:paraId="71E60EDF" w14:textId="77777777" w:rsidTr="00BD4E90">
        <w:tc>
          <w:tcPr>
            <w:tcW w:w="1261" w:type="dxa"/>
            <w:shd w:val="clear" w:color="auto" w:fill="auto"/>
          </w:tcPr>
          <w:p w14:paraId="381B2A80" w14:textId="77777777" w:rsidR="00C924FB" w:rsidRPr="00826F4C" w:rsidRDefault="00C924FB" w:rsidP="00BD4E90">
            <w:pPr>
              <w:rPr>
                <w:rFonts w:ascii="Arial" w:hAnsi="Arial" w:cs="Arial"/>
                <w:b/>
                <w:sz w:val="22"/>
                <w:szCs w:val="22"/>
              </w:rPr>
            </w:pPr>
            <w:r w:rsidRPr="00826F4C">
              <w:rPr>
                <w:rFonts w:ascii="Arial" w:hAnsi="Arial" w:cs="Arial"/>
                <w:b/>
                <w:sz w:val="22"/>
                <w:szCs w:val="22"/>
              </w:rPr>
              <w:t>Version</w:t>
            </w:r>
          </w:p>
        </w:tc>
        <w:tc>
          <w:tcPr>
            <w:tcW w:w="1276" w:type="dxa"/>
            <w:shd w:val="clear" w:color="auto" w:fill="auto"/>
          </w:tcPr>
          <w:p w14:paraId="053A54D5" w14:textId="77777777" w:rsidR="00C924FB" w:rsidRPr="00826F4C" w:rsidRDefault="00C924FB" w:rsidP="00BD4E90">
            <w:pPr>
              <w:rPr>
                <w:rFonts w:ascii="Arial" w:hAnsi="Arial" w:cs="Arial"/>
                <w:b/>
                <w:sz w:val="22"/>
                <w:szCs w:val="22"/>
              </w:rPr>
            </w:pPr>
            <w:r w:rsidRPr="00826F4C">
              <w:rPr>
                <w:rFonts w:ascii="Arial" w:hAnsi="Arial" w:cs="Arial"/>
                <w:b/>
                <w:sz w:val="22"/>
                <w:szCs w:val="22"/>
              </w:rPr>
              <w:t>Date</w:t>
            </w:r>
          </w:p>
        </w:tc>
        <w:tc>
          <w:tcPr>
            <w:tcW w:w="6633" w:type="dxa"/>
            <w:shd w:val="clear" w:color="auto" w:fill="auto"/>
          </w:tcPr>
          <w:p w14:paraId="29D52B2C" w14:textId="77777777" w:rsidR="00C924FB" w:rsidRPr="00826F4C" w:rsidRDefault="00C924FB" w:rsidP="00BD4E90">
            <w:pPr>
              <w:rPr>
                <w:rFonts w:ascii="Arial" w:hAnsi="Arial" w:cs="Arial"/>
                <w:b/>
                <w:sz w:val="22"/>
                <w:szCs w:val="22"/>
              </w:rPr>
            </w:pPr>
            <w:r w:rsidRPr="00826F4C">
              <w:rPr>
                <w:rFonts w:ascii="Arial" w:hAnsi="Arial" w:cs="Arial"/>
                <w:b/>
                <w:sz w:val="22"/>
                <w:szCs w:val="22"/>
              </w:rPr>
              <w:t>Change detail</w:t>
            </w:r>
          </w:p>
        </w:tc>
      </w:tr>
      <w:tr w:rsidR="00C924FB" w:rsidRPr="00007C79" w14:paraId="4D77105D" w14:textId="77777777" w:rsidTr="00BD4E90">
        <w:tc>
          <w:tcPr>
            <w:tcW w:w="1261" w:type="dxa"/>
            <w:shd w:val="clear" w:color="auto" w:fill="auto"/>
          </w:tcPr>
          <w:p w14:paraId="21D583B0" w14:textId="02CD0170" w:rsidR="00C924FB" w:rsidRPr="00007C79" w:rsidRDefault="005169AE" w:rsidP="00BD4E90">
            <w:pPr>
              <w:rPr>
                <w:rFonts w:ascii="Arial" w:hAnsi="Arial" w:cs="Arial"/>
                <w:sz w:val="22"/>
                <w:szCs w:val="22"/>
              </w:rPr>
            </w:pPr>
            <w:r w:rsidRPr="00007C79">
              <w:rPr>
                <w:rFonts w:ascii="Arial" w:hAnsi="Arial" w:cs="Arial"/>
                <w:sz w:val="22"/>
                <w:szCs w:val="22"/>
              </w:rPr>
              <w:t>01</w:t>
            </w:r>
          </w:p>
        </w:tc>
        <w:tc>
          <w:tcPr>
            <w:tcW w:w="1276" w:type="dxa"/>
            <w:shd w:val="clear" w:color="auto" w:fill="auto"/>
          </w:tcPr>
          <w:p w14:paraId="1729C863" w14:textId="0F124D5A" w:rsidR="00C924FB" w:rsidRPr="00007C79" w:rsidRDefault="005169AE" w:rsidP="00BD4E90">
            <w:pPr>
              <w:rPr>
                <w:rFonts w:ascii="Arial" w:hAnsi="Arial" w:cs="Arial"/>
                <w:sz w:val="22"/>
                <w:szCs w:val="22"/>
              </w:rPr>
            </w:pPr>
            <w:r w:rsidRPr="00007C79">
              <w:rPr>
                <w:rFonts w:ascii="Arial" w:hAnsi="Arial" w:cs="Arial"/>
                <w:sz w:val="22"/>
                <w:szCs w:val="22"/>
              </w:rPr>
              <w:t>28/05/2019</w:t>
            </w:r>
          </w:p>
        </w:tc>
        <w:tc>
          <w:tcPr>
            <w:tcW w:w="6633" w:type="dxa"/>
            <w:shd w:val="clear" w:color="auto" w:fill="auto"/>
          </w:tcPr>
          <w:p w14:paraId="38F94273" w14:textId="459904FA" w:rsidR="00C924FB" w:rsidRPr="00007C79" w:rsidRDefault="005169AE" w:rsidP="00BD4E90">
            <w:pPr>
              <w:rPr>
                <w:rFonts w:ascii="Arial" w:hAnsi="Arial" w:cs="Arial"/>
                <w:sz w:val="22"/>
                <w:szCs w:val="22"/>
              </w:rPr>
            </w:pPr>
            <w:r w:rsidRPr="00007C79">
              <w:rPr>
                <w:rFonts w:ascii="Arial" w:hAnsi="Arial" w:cs="Arial"/>
                <w:sz w:val="22"/>
                <w:szCs w:val="22"/>
              </w:rPr>
              <w:t xml:space="preserve">The </w:t>
            </w:r>
            <w:proofErr w:type="spellStart"/>
            <w:r w:rsidRPr="00007C79">
              <w:rPr>
                <w:rFonts w:ascii="Arial" w:hAnsi="Arial" w:cs="Arial"/>
                <w:sz w:val="22"/>
                <w:szCs w:val="22"/>
              </w:rPr>
              <w:t>ToR</w:t>
            </w:r>
            <w:proofErr w:type="spellEnd"/>
            <w:r w:rsidRPr="00007C79">
              <w:rPr>
                <w:rFonts w:ascii="Arial" w:hAnsi="Arial" w:cs="Arial"/>
                <w:sz w:val="22"/>
                <w:szCs w:val="22"/>
              </w:rPr>
              <w:t xml:space="preserve"> were reviewed by the Rec Committee</w:t>
            </w:r>
            <w:r w:rsidR="00007C79" w:rsidRPr="00007C79">
              <w:rPr>
                <w:rFonts w:ascii="Arial" w:hAnsi="Arial" w:cs="Arial"/>
                <w:sz w:val="22"/>
                <w:szCs w:val="22"/>
              </w:rPr>
              <w:t xml:space="preserve"> with no amendments deemed to be required.</w:t>
            </w:r>
          </w:p>
        </w:tc>
      </w:tr>
      <w:tr w:rsidR="00C924FB" w14:paraId="1ADBEA41" w14:textId="77777777" w:rsidTr="00BD4E90">
        <w:tc>
          <w:tcPr>
            <w:tcW w:w="1261" w:type="dxa"/>
            <w:shd w:val="clear" w:color="auto" w:fill="auto"/>
          </w:tcPr>
          <w:p w14:paraId="6BBBB0C6" w14:textId="77777777" w:rsidR="00C924FB" w:rsidRPr="00826F4C" w:rsidRDefault="00C924FB" w:rsidP="00BD4E90">
            <w:pPr>
              <w:rPr>
                <w:rFonts w:ascii="Arial" w:hAnsi="Arial" w:cs="Arial"/>
              </w:rPr>
            </w:pPr>
          </w:p>
        </w:tc>
        <w:tc>
          <w:tcPr>
            <w:tcW w:w="1276" w:type="dxa"/>
            <w:shd w:val="clear" w:color="auto" w:fill="auto"/>
          </w:tcPr>
          <w:p w14:paraId="1A7998D6" w14:textId="77777777" w:rsidR="00C924FB" w:rsidRPr="00826F4C" w:rsidRDefault="00C924FB" w:rsidP="00BD4E90">
            <w:pPr>
              <w:rPr>
                <w:rFonts w:ascii="Arial" w:hAnsi="Arial" w:cs="Arial"/>
              </w:rPr>
            </w:pPr>
          </w:p>
        </w:tc>
        <w:tc>
          <w:tcPr>
            <w:tcW w:w="6633" w:type="dxa"/>
            <w:shd w:val="clear" w:color="auto" w:fill="auto"/>
          </w:tcPr>
          <w:p w14:paraId="45E91BCA" w14:textId="77777777" w:rsidR="00C924FB" w:rsidRPr="00826F4C" w:rsidRDefault="00C924FB" w:rsidP="00BD4E90">
            <w:pPr>
              <w:rPr>
                <w:rFonts w:ascii="Arial" w:hAnsi="Arial" w:cs="Arial"/>
              </w:rPr>
            </w:pPr>
            <w:bookmarkStart w:id="0" w:name="_GoBack"/>
            <w:bookmarkEnd w:id="0"/>
          </w:p>
        </w:tc>
      </w:tr>
    </w:tbl>
    <w:p w14:paraId="796587B3" w14:textId="77777777" w:rsidR="004C084C" w:rsidRDefault="004C084C"/>
    <w:sectPr w:rsidR="004C084C" w:rsidSect="00ED2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FB"/>
    <w:rsid w:val="00007C79"/>
    <w:rsid w:val="002D4CB9"/>
    <w:rsid w:val="004C084C"/>
    <w:rsid w:val="005169AE"/>
    <w:rsid w:val="00534E65"/>
    <w:rsid w:val="00C9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DB14"/>
  <w15:chartTrackingRefBased/>
  <w15:docId w15:val="{24264556-ECB6-4978-98B7-644D84A6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4FB"/>
    <w:rPr>
      <w:rFonts w:ascii="Cambria" w:eastAsia="Calibri" w:hAnsi="Cambria" w:cs="Times New Roman"/>
      <w:sz w:val="24"/>
      <w:szCs w:val="24"/>
      <w:lang w:val="en-GB"/>
    </w:rPr>
  </w:style>
  <w:style w:type="paragraph" w:styleId="Heading1">
    <w:name w:val="heading 1"/>
    <w:basedOn w:val="Normal"/>
    <w:next w:val="Normal"/>
    <w:link w:val="Heading1Char"/>
    <w:qFormat/>
    <w:rsid w:val="00C924FB"/>
    <w:pPr>
      <w:keepNext/>
      <w:numPr>
        <w:numId w:val="1"/>
      </w:numPr>
      <w:spacing w:after="0" w:line="240" w:lineRule="auto"/>
      <w:jc w:val="both"/>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4FB"/>
    <w:rPr>
      <w:rFonts w:ascii="Times New Roman" w:eastAsia="Times New Roman" w:hAnsi="Times New Roman" w:cs="Times New Roman"/>
      <w:b/>
      <w:bCs/>
      <w:sz w:val="24"/>
      <w:szCs w:val="20"/>
      <w:u w:val="single"/>
      <w:lang w:val="en-GB"/>
    </w:rPr>
  </w:style>
  <w:style w:type="paragraph" w:styleId="Title">
    <w:name w:val="Title"/>
    <w:basedOn w:val="Normal"/>
    <w:link w:val="TitleChar"/>
    <w:qFormat/>
    <w:rsid w:val="00C924FB"/>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basedOn w:val="DefaultParagraphFont"/>
    <w:link w:val="Title"/>
    <w:rsid w:val="00C924FB"/>
    <w:rPr>
      <w:rFonts w:ascii="Times New Roman" w:eastAsia="Times New Roman" w:hAnsi="Times New Roman" w:cs="Times New Roman"/>
      <w:b/>
      <w:bCs/>
      <w:sz w:val="28"/>
      <w:szCs w:val="20"/>
      <w:u w:val="single"/>
      <w:lang w:val="en-GB"/>
    </w:rPr>
  </w:style>
  <w:style w:type="paragraph" w:styleId="BodyTextIndent">
    <w:name w:val="Body Text Indent"/>
    <w:basedOn w:val="Normal"/>
    <w:link w:val="BodyTextIndentChar"/>
    <w:semiHidden/>
    <w:rsid w:val="00C924FB"/>
    <w:pPr>
      <w:spacing w:after="0" w:line="240" w:lineRule="auto"/>
      <w:ind w:left="720" w:hanging="72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semiHidden/>
    <w:rsid w:val="00C924FB"/>
    <w:rPr>
      <w:rFonts w:ascii="Times New Roman" w:eastAsia="Times New Roman" w:hAnsi="Times New Roman" w:cs="Times New Roman"/>
      <w:sz w:val="24"/>
      <w:szCs w:val="20"/>
      <w:lang w:val="en-GB"/>
    </w:rPr>
  </w:style>
  <w:style w:type="paragraph" w:styleId="BodyTextIndent2">
    <w:name w:val="Body Text Indent 2"/>
    <w:basedOn w:val="Normal"/>
    <w:link w:val="BodyTextIndent2Char"/>
    <w:semiHidden/>
    <w:rsid w:val="00C924FB"/>
    <w:pPr>
      <w:tabs>
        <w:tab w:val="left" w:pos="720"/>
      </w:tabs>
      <w:spacing w:after="0" w:line="240" w:lineRule="auto"/>
      <w:ind w:left="1440" w:hanging="1440"/>
      <w:jc w:val="both"/>
    </w:pPr>
    <w:rPr>
      <w:rFonts w:ascii="Times New Roman" w:eastAsia="Times New Roman" w:hAnsi="Times New Roman"/>
      <w:szCs w:val="20"/>
    </w:rPr>
  </w:style>
  <w:style w:type="character" w:customStyle="1" w:styleId="BodyTextIndent2Char">
    <w:name w:val="Body Text Indent 2 Char"/>
    <w:basedOn w:val="DefaultParagraphFont"/>
    <w:link w:val="BodyTextIndent2"/>
    <w:semiHidden/>
    <w:rsid w:val="00C924F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semiHidden/>
    <w:rsid w:val="00C924FB"/>
    <w:pPr>
      <w:tabs>
        <w:tab w:val="left" w:pos="720"/>
        <w:tab w:val="left" w:pos="1440"/>
        <w:tab w:val="left" w:pos="2160"/>
      </w:tabs>
      <w:spacing w:after="0" w:line="240" w:lineRule="auto"/>
      <w:ind w:left="2160" w:hanging="2160"/>
      <w:jc w:val="both"/>
    </w:pPr>
    <w:rPr>
      <w:rFonts w:ascii="Times New Roman" w:eastAsia="Times New Roman" w:hAnsi="Times New Roman"/>
      <w:szCs w:val="20"/>
    </w:rPr>
  </w:style>
  <w:style w:type="character" w:customStyle="1" w:styleId="BodyTextIndent3Char">
    <w:name w:val="Body Text Indent 3 Char"/>
    <w:basedOn w:val="DefaultParagraphFont"/>
    <w:link w:val="BodyTextIndent3"/>
    <w:semiHidden/>
    <w:rsid w:val="00C924FB"/>
    <w:rPr>
      <w:rFonts w:ascii="Times New Roman" w:eastAsia="Times New Roman" w:hAnsi="Times New Roman" w:cs="Times New Roman"/>
      <w:sz w:val="24"/>
      <w:szCs w:val="20"/>
      <w:lang w:val="en-GB"/>
    </w:rPr>
  </w:style>
  <w:style w:type="paragraph" w:customStyle="1" w:styleId="Default">
    <w:name w:val="Default"/>
    <w:rsid w:val="00C924FB"/>
    <w:pPr>
      <w:autoSpaceDE w:val="0"/>
      <w:autoSpaceDN w:val="0"/>
      <w:adjustRightInd w:val="0"/>
      <w:spacing w:after="0" w:line="240" w:lineRule="auto"/>
    </w:pPr>
    <w:rPr>
      <w:rFonts w:ascii="Arial" w:eastAsia="Times New Roman"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Wyatt</dc:creator>
  <cp:keywords/>
  <dc:description/>
  <cp:lastModifiedBy>Steve Wyatt</cp:lastModifiedBy>
  <cp:revision>4</cp:revision>
  <dcterms:created xsi:type="dcterms:W3CDTF">2019-05-23T20:48:00Z</dcterms:created>
  <dcterms:modified xsi:type="dcterms:W3CDTF">2019-06-03T11:23:00Z</dcterms:modified>
</cp:coreProperties>
</file>